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23BDA940" w:rsidR="00E90E49" w:rsidRPr="00BF3AD7" w:rsidRDefault="00E90E49" w:rsidP="00E35559">
      <w:pPr>
        <w:pStyle w:val="3GPPHeader"/>
        <w:spacing w:after="60"/>
        <w:rPr>
          <w:sz w:val="32"/>
          <w:szCs w:val="32"/>
          <w:highlight w:val="yellow"/>
          <w:lang w:val="de-DE"/>
        </w:rPr>
      </w:pPr>
      <w:r w:rsidRPr="00BF3AD7">
        <w:rPr>
          <w:lang w:val="de-DE"/>
        </w:rPr>
        <w:t>3GPP TSG-RAN WG</w:t>
      </w:r>
      <w:r w:rsidR="00F20F5C" w:rsidRPr="00BF3AD7">
        <w:rPr>
          <w:lang w:val="de-DE"/>
        </w:rPr>
        <w:t>2</w:t>
      </w:r>
      <w:r w:rsidRPr="00BF3AD7">
        <w:rPr>
          <w:lang w:val="de-DE"/>
        </w:rPr>
        <w:t xml:space="preserve"> #</w:t>
      </w:r>
      <w:r w:rsidR="00F20F5C" w:rsidRPr="00BF3AD7">
        <w:rPr>
          <w:lang w:val="de-DE"/>
        </w:rPr>
        <w:t>1</w:t>
      </w:r>
      <w:r w:rsidR="00C268E6" w:rsidRPr="00BF3AD7">
        <w:rPr>
          <w:lang w:val="de-DE"/>
        </w:rPr>
        <w:t>1</w:t>
      </w:r>
      <w:r w:rsidR="00DF66E1" w:rsidRPr="00BF3AD7">
        <w:rPr>
          <w:lang w:val="de-DE"/>
        </w:rPr>
        <w:t>9</w:t>
      </w:r>
      <w:r w:rsidR="007761FD" w:rsidRPr="00BF3AD7">
        <w:rPr>
          <w:lang w:val="de-DE"/>
        </w:rPr>
        <w:t>bis-</w:t>
      </w:r>
      <w:r w:rsidR="00F20F5C" w:rsidRPr="00BF3AD7">
        <w:rPr>
          <w:lang w:val="de-DE"/>
        </w:rPr>
        <w:t>e</w:t>
      </w:r>
      <w:r w:rsidRPr="00BF3AD7">
        <w:rPr>
          <w:lang w:val="de-DE"/>
        </w:rPr>
        <w:tab/>
      </w:r>
      <w:r w:rsidR="002F3FE8" w:rsidRPr="00BF3AD7">
        <w:rPr>
          <w:sz w:val="32"/>
          <w:szCs w:val="32"/>
          <w:lang w:val="de-DE"/>
        </w:rPr>
        <w:t>R2-22</w:t>
      </w:r>
      <w:r w:rsidR="00BD5573">
        <w:rPr>
          <w:sz w:val="32"/>
          <w:szCs w:val="32"/>
          <w:lang w:val="de-DE"/>
        </w:rPr>
        <w:t>10328</w:t>
      </w:r>
    </w:p>
    <w:p w14:paraId="0DEF01D1" w14:textId="350E8BC0" w:rsidR="00E90E49" w:rsidRPr="00CE0424" w:rsidRDefault="00C268E6" w:rsidP="00311702">
      <w:pPr>
        <w:pStyle w:val="3GPPHeader"/>
      </w:pPr>
      <w:r>
        <w:t xml:space="preserve">Electronic meeting, </w:t>
      </w:r>
      <w:r w:rsidR="007761FD">
        <w:t xml:space="preserve">October </w:t>
      </w:r>
      <w:r w:rsidR="00B33C68" w:rsidRPr="00B33C68">
        <w:t>1</w:t>
      </w:r>
      <w:r w:rsidR="007761FD">
        <w:t>0</w:t>
      </w:r>
      <w:r w:rsidR="00B33C68" w:rsidRPr="00B33C68">
        <w:t xml:space="preserve">th – </w:t>
      </w:r>
      <w:r w:rsidR="007761FD">
        <w:t>1</w:t>
      </w:r>
      <w:r w:rsidR="00B33C68" w:rsidRPr="00B33C68">
        <w:t>9th 2022</w:t>
      </w:r>
    </w:p>
    <w:p w14:paraId="252563D4" w14:textId="77777777" w:rsidR="00E90E49" w:rsidRPr="00CE0424" w:rsidRDefault="00E90E49" w:rsidP="00357380">
      <w:pPr>
        <w:pStyle w:val="3GPPHeader"/>
      </w:pPr>
    </w:p>
    <w:p w14:paraId="267378A2" w14:textId="739CF280" w:rsidR="00E90E49" w:rsidRPr="000F6C65" w:rsidRDefault="00E90E49" w:rsidP="00311702">
      <w:pPr>
        <w:pStyle w:val="3GPPHeader"/>
        <w:rPr>
          <w:sz w:val="22"/>
          <w:szCs w:val="22"/>
          <w:lang w:val="en-US"/>
        </w:rPr>
      </w:pPr>
      <w:r w:rsidRPr="00CE0424">
        <w:rPr>
          <w:sz w:val="22"/>
          <w:szCs w:val="22"/>
        </w:rPr>
        <w:t>Agenda Item:</w:t>
      </w:r>
      <w:r w:rsidRPr="00CE0424">
        <w:rPr>
          <w:sz w:val="22"/>
          <w:szCs w:val="22"/>
        </w:rPr>
        <w:tab/>
      </w:r>
      <w:r w:rsidR="00B33C68" w:rsidRPr="000F6C65">
        <w:rPr>
          <w:sz w:val="22"/>
          <w:szCs w:val="22"/>
          <w:lang w:val="en-US"/>
        </w:rPr>
        <w:t>8.12.3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84FF654" w:rsidR="00E90E49" w:rsidRPr="00CE0424" w:rsidRDefault="003D3C45" w:rsidP="00311702">
      <w:pPr>
        <w:pStyle w:val="3GPPHeader"/>
        <w:rPr>
          <w:sz w:val="22"/>
          <w:szCs w:val="22"/>
        </w:rPr>
      </w:pPr>
      <w:r>
        <w:rPr>
          <w:sz w:val="22"/>
          <w:szCs w:val="22"/>
        </w:rPr>
        <w:t>Title:</w:t>
      </w:r>
      <w:r w:rsidR="00E90E49" w:rsidRPr="00CE0424">
        <w:rPr>
          <w:sz w:val="22"/>
          <w:szCs w:val="22"/>
        </w:rPr>
        <w:tab/>
      </w:r>
      <w:r w:rsidR="00BD5573">
        <w:rPr>
          <w:sz w:val="22"/>
          <w:szCs w:val="22"/>
        </w:rPr>
        <w:t>General aspects on mobile IAB support</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367BC">
        <w:rPr>
          <w:sz w:val="22"/>
          <w:szCs w:val="22"/>
        </w:rPr>
        <w:t>Discussion, Decision</w:t>
      </w:r>
    </w:p>
    <w:p w14:paraId="1DD4A9BC" w14:textId="77777777" w:rsidR="00E90E49" w:rsidRPr="00CE0424" w:rsidRDefault="00E90E49" w:rsidP="00E90E49"/>
    <w:p w14:paraId="028056FC" w14:textId="6EF33B49" w:rsidR="00E90E49" w:rsidRDefault="007974E0" w:rsidP="007974E0">
      <w:pPr>
        <w:pStyle w:val="Heading1"/>
      </w:pPr>
      <w:r>
        <w:t>1</w:t>
      </w:r>
      <w:r>
        <w:tab/>
      </w:r>
      <w:r w:rsidR="00E90E49" w:rsidRPr="00CE0424">
        <w:t>Introduction</w:t>
      </w:r>
    </w:p>
    <w:p w14:paraId="611C6086" w14:textId="4507F7CC" w:rsidR="004A3BC9" w:rsidRPr="00B33C68" w:rsidRDefault="00B33C68" w:rsidP="004A3BC9">
      <w:pPr>
        <w:rPr>
          <w:rFonts w:ascii="Arial" w:hAnsi="Arial" w:cs="Arial"/>
        </w:rPr>
      </w:pPr>
      <w:r>
        <w:rPr>
          <w:rFonts w:ascii="Arial" w:hAnsi="Arial" w:cs="Arial"/>
        </w:rPr>
        <w:t>Objectives</w:t>
      </w:r>
      <w:r w:rsidR="004A3BC9" w:rsidRPr="00B33C68">
        <w:rPr>
          <w:rFonts w:ascii="Arial" w:hAnsi="Arial" w:cs="Arial"/>
        </w:rPr>
        <w:t xml:space="preserve"> for Rel-18 </w:t>
      </w:r>
      <w:r>
        <w:rPr>
          <w:rFonts w:ascii="Arial" w:hAnsi="Arial" w:cs="Arial"/>
        </w:rPr>
        <w:t>M</w:t>
      </w:r>
      <w:r w:rsidRPr="00B33C68">
        <w:rPr>
          <w:rFonts w:ascii="Arial" w:hAnsi="Arial" w:cs="Arial"/>
        </w:rPr>
        <w:t xml:space="preserve">obile </w:t>
      </w:r>
      <w:r w:rsidR="004A3BC9" w:rsidRPr="00B33C68">
        <w:rPr>
          <w:rFonts w:ascii="Arial" w:hAnsi="Arial" w:cs="Arial"/>
        </w:rPr>
        <w:t xml:space="preserve">IAB </w:t>
      </w:r>
      <w:r>
        <w:rPr>
          <w:rFonts w:ascii="Arial" w:hAnsi="Arial" w:cs="Arial"/>
        </w:rPr>
        <w:t xml:space="preserve">as </w:t>
      </w:r>
      <w:r w:rsidR="00A61948" w:rsidRPr="00B33C68">
        <w:rPr>
          <w:rFonts w:ascii="Arial" w:hAnsi="Arial" w:cs="Arial"/>
        </w:rPr>
        <w:t>below</w:t>
      </w:r>
      <w:r>
        <w:rPr>
          <w:rFonts w:ascii="Arial" w:hAnsi="Arial" w:cs="Arial"/>
        </w:rPr>
        <w:t xml:space="preserve"> will be discussed</w:t>
      </w:r>
      <w:r w:rsidR="004A3BC9" w:rsidRPr="00B33C68">
        <w:rPr>
          <w:rFonts w:ascii="Arial" w:hAnsi="Arial" w:cs="Arial"/>
        </w:rPr>
        <w:t>.</w:t>
      </w:r>
    </w:p>
    <w:tbl>
      <w:tblPr>
        <w:tblStyle w:val="TableGrid"/>
        <w:tblW w:w="0" w:type="auto"/>
        <w:tblLook w:val="04A0" w:firstRow="1" w:lastRow="0" w:firstColumn="1" w:lastColumn="0" w:noHBand="0" w:noVBand="1"/>
      </w:tblPr>
      <w:tblGrid>
        <w:gridCol w:w="9629"/>
      </w:tblGrid>
      <w:tr w:rsidR="004A3BC9" w14:paraId="25B26F23" w14:textId="77777777" w:rsidTr="004A3BC9">
        <w:tc>
          <w:tcPr>
            <w:tcW w:w="9629" w:type="dxa"/>
          </w:tcPr>
          <w:p w14:paraId="340AF684" w14:textId="77777777" w:rsidR="00A61948" w:rsidRPr="00BF3AD7" w:rsidRDefault="00A61948" w:rsidP="00B33C68">
            <w:pPr>
              <w:pStyle w:val="BodyText"/>
              <w:numPr>
                <w:ilvl w:val="0"/>
                <w:numId w:val="33"/>
              </w:numPr>
              <w:rPr>
                <w:sz w:val="20"/>
                <w:szCs w:val="20"/>
                <w:lang w:val="en-US"/>
              </w:rPr>
            </w:pPr>
            <w:r w:rsidRPr="00BF3AD7">
              <w:rPr>
                <w:sz w:val="20"/>
                <w:szCs w:val="20"/>
                <w:lang w:val="en-US"/>
              </w:rPr>
              <w:t xml:space="preserve">Define Procedures for migration/topology adaptation to enable IAB-node mobility, including inter-donor migration of the entire mobile IAB-node (full migration) [RAN3, RAN2]. </w:t>
            </w:r>
          </w:p>
          <w:p w14:paraId="4E6C241E" w14:textId="6B0EDB96" w:rsidR="004A3BC9" w:rsidRDefault="00A61948" w:rsidP="00B33C68">
            <w:pPr>
              <w:pStyle w:val="BodyText"/>
              <w:numPr>
                <w:ilvl w:val="0"/>
                <w:numId w:val="33"/>
              </w:numPr>
            </w:pPr>
            <w:r w:rsidRPr="00BF3AD7">
              <w:rPr>
                <w:sz w:val="20"/>
                <w:szCs w:val="20"/>
                <w:lang w:val="en-US"/>
              </w:rPr>
              <w:t>Mitigation of interference due to IAB-node mobility, including the avoidance of potential reference and control signal collisions (</w:t>
            </w:r>
            <w:proofErr w:type="gramStart"/>
            <w:r w:rsidRPr="00BF3AD7">
              <w:rPr>
                <w:sz w:val="20"/>
                <w:szCs w:val="20"/>
                <w:lang w:val="en-US"/>
              </w:rPr>
              <w:t>e.g.</w:t>
            </w:r>
            <w:proofErr w:type="gramEnd"/>
            <w:r w:rsidRPr="00BF3AD7">
              <w:rPr>
                <w:sz w:val="20"/>
                <w:szCs w:val="20"/>
                <w:lang w:val="en-US"/>
              </w:rPr>
              <w:t xml:space="preserve"> PCI, RACH). </w:t>
            </w:r>
            <w:r w:rsidRPr="00A61948">
              <w:rPr>
                <w:sz w:val="20"/>
                <w:szCs w:val="20"/>
              </w:rPr>
              <w:t xml:space="preserve">[RAN3, RAN2]. </w:t>
            </w:r>
          </w:p>
        </w:tc>
      </w:tr>
    </w:tbl>
    <w:p w14:paraId="1095B22E" w14:textId="77777777" w:rsidR="00477768" w:rsidRDefault="00477768" w:rsidP="00CE0424">
      <w:pPr>
        <w:pStyle w:val="BodyText"/>
      </w:pPr>
    </w:p>
    <w:p w14:paraId="726F83CE" w14:textId="28FD1C31" w:rsidR="006155AC" w:rsidRDefault="006155AC" w:rsidP="00CE0424">
      <w:pPr>
        <w:pStyle w:val="BodyText"/>
      </w:pPr>
      <w:r>
        <w:t xml:space="preserve">From RAN2-119e below </w:t>
      </w:r>
      <w:r w:rsidR="008B20D4">
        <w:t>points were noted as way forward.</w:t>
      </w:r>
    </w:p>
    <w:p w14:paraId="5968484D" w14:textId="77777777" w:rsidR="00A23E32" w:rsidRDefault="00A23E32" w:rsidP="00CE0424">
      <w:pPr>
        <w:pStyle w:val="BodyText"/>
      </w:pPr>
    </w:p>
    <w:tbl>
      <w:tblPr>
        <w:tblStyle w:val="TableGrid"/>
        <w:tblW w:w="0" w:type="auto"/>
        <w:tblLook w:val="04A0" w:firstRow="1" w:lastRow="0" w:firstColumn="1" w:lastColumn="0" w:noHBand="0" w:noVBand="1"/>
      </w:tblPr>
      <w:tblGrid>
        <w:gridCol w:w="9629"/>
      </w:tblGrid>
      <w:tr w:rsidR="00A23E32" w14:paraId="6BFC328B" w14:textId="77777777" w:rsidTr="00A23E32">
        <w:tc>
          <w:tcPr>
            <w:tcW w:w="9629" w:type="dxa"/>
          </w:tcPr>
          <w:p w14:paraId="452BE2D3" w14:textId="77777777" w:rsidR="00A23E32" w:rsidRPr="00BF3AD7" w:rsidRDefault="00A23E32" w:rsidP="00A23E32">
            <w:pPr>
              <w:pStyle w:val="Agreement"/>
              <w:numPr>
                <w:ilvl w:val="0"/>
                <w:numId w:val="0"/>
              </w:numPr>
              <w:ind w:left="1619"/>
              <w:rPr>
                <w:lang w:val="en-US"/>
              </w:rPr>
            </w:pPr>
            <w:r w:rsidRPr="00BF3AD7">
              <w:rPr>
                <w:lang w:val="en-US"/>
              </w:rPr>
              <w:t xml:space="preserve">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p w14:paraId="3FA99AE2" w14:textId="77777777" w:rsidR="00A23E32" w:rsidRPr="00BF3AD7" w:rsidRDefault="00A23E32" w:rsidP="00A23E32">
            <w:pPr>
              <w:pStyle w:val="Agreement"/>
              <w:numPr>
                <w:ilvl w:val="0"/>
                <w:numId w:val="0"/>
              </w:numPr>
              <w:ind w:left="1619"/>
              <w:rPr>
                <w:lang w:val="en-US"/>
              </w:rPr>
            </w:pPr>
            <w:r w:rsidRPr="00BF3AD7">
              <w:rPr>
                <w:lang w:val="en-US"/>
              </w:rPr>
              <w:t xml:space="preserve">P5: RAN2 may discuss whether there is a problem of RACH configuration collision between mobile IAB and stationary network from RAN2 perspective and/or whether RAN2 should ask RAN1 to consider RAN1-related aspects. </w:t>
            </w:r>
          </w:p>
          <w:p w14:paraId="1AA2A0B6" w14:textId="77777777" w:rsidR="00A23E32" w:rsidRPr="00BF3AD7" w:rsidRDefault="00A23E32" w:rsidP="00CE0424">
            <w:pPr>
              <w:pStyle w:val="BodyText"/>
              <w:rPr>
                <w:lang w:val="en-US"/>
              </w:rPr>
            </w:pPr>
          </w:p>
        </w:tc>
      </w:tr>
    </w:tbl>
    <w:p w14:paraId="1C6A63B5" w14:textId="77777777" w:rsidR="008B20D4" w:rsidRDefault="008B20D4" w:rsidP="00CE0424">
      <w:pPr>
        <w:pStyle w:val="BodyText"/>
      </w:pPr>
    </w:p>
    <w:p w14:paraId="5EFD6735" w14:textId="03EA1009" w:rsidR="008B20D4" w:rsidRDefault="008B20D4" w:rsidP="00CE0424">
      <w:pPr>
        <w:pStyle w:val="BodyText"/>
      </w:pPr>
      <w:r>
        <w:t>Further SA2 has also sent an LS that needs RAN2 attention.</w:t>
      </w:r>
    </w:p>
    <w:tbl>
      <w:tblPr>
        <w:tblStyle w:val="TableGrid"/>
        <w:tblW w:w="0" w:type="auto"/>
        <w:tblLook w:val="04A0" w:firstRow="1" w:lastRow="0" w:firstColumn="1" w:lastColumn="0" w:noHBand="0" w:noVBand="1"/>
      </w:tblPr>
      <w:tblGrid>
        <w:gridCol w:w="9629"/>
      </w:tblGrid>
      <w:tr w:rsidR="00A23E32" w14:paraId="42059A2B" w14:textId="77777777" w:rsidTr="00A23E32">
        <w:tc>
          <w:tcPr>
            <w:tcW w:w="9629" w:type="dxa"/>
          </w:tcPr>
          <w:p w14:paraId="3559685D" w14:textId="4F679250" w:rsidR="00A23E32" w:rsidRPr="00BF3AD7" w:rsidRDefault="00A23E32" w:rsidP="00A23E32">
            <w:pPr>
              <w:pStyle w:val="B1"/>
              <w:rPr>
                <w:lang w:val="en-US"/>
              </w:rPr>
            </w:pPr>
            <w:r w:rsidRPr="00BF3AD7">
              <w:rPr>
                <w:lang w:val="en-US"/>
              </w:rPr>
              <w:t xml:space="preserve">With regard to Key Issue#3 (as defined in clause 5.3), SA2 would like to understand if the MBSR, </w:t>
            </w:r>
            <w:proofErr w:type="gramStart"/>
            <w:r w:rsidRPr="00BF3AD7">
              <w:rPr>
                <w:lang w:val="en-US"/>
              </w:rPr>
              <w:t>i.e.</w:t>
            </w:r>
            <w:proofErr w:type="gramEnd"/>
            <w:r w:rsidRPr="00BF3AD7">
              <w:rPr>
                <w:lang w:val="en-US"/>
              </w:rPr>
              <w:t xml:space="preserve"> mobile-IAB node, would keep the same TAC, and Cell ID, when it changes serving donor </w:t>
            </w:r>
            <w:proofErr w:type="spellStart"/>
            <w:r w:rsidRPr="00BF3AD7">
              <w:rPr>
                <w:lang w:val="en-US"/>
              </w:rPr>
              <w:t>gNB</w:t>
            </w:r>
            <w:proofErr w:type="spellEnd"/>
            <w:r w:rsidRPr="00BF3AD7">
              <w:rPr>
                <w:lang w:val="en-US"/>
              </w:rPr>
              <w:t>. SA2 has documented different solutions based on different options and needs RAN2 and RAN3 feedbacks for down selection.</w:t>
            </w:r>
          </w:p>
        </w:tc>
      </w:tr>
    </w:tbl>
    <w:p w14:paraId="55466132" w14:textId="77777777" w:rsidR="008B20D4" w:rsidRPr="00CE0424" w:rsidRDefault="008B20D4" w:rsidP="00CE0424">
      <w:pPr>
        <w:pStyle w:val="BodyText"/>
      </w:pPr>
    </w:p>
    <w:p w14:paraId="59E13DC4" w14:textId="77874084" w:rsidR="004000E8" w:rsidRDefault="00F14DA2" w:rsidP="00F14DA2">
      <w:pPr>
        <w:pStyle w:val="Heading1"/>
      </w:pPr>
      <w:bookmarkStart w:id="0" w:name="_Ref178064866"/>
      <w:r>
        <w:lastRenderedPageBreak/>
        <w:t>2</w:t>
      </w:r>
      <w:r>
        <w:tab/>
      </w:r>
      <w:r w:rsidR="004000E8" w:rsidRPr="00CE0424">
        <w:t>Discussion</w:t>
      </w:r>
      <w:bookmarkEnd w:id="0"/>
    </w:p>
    <w:p w14:paraId="51ABEE17" w14:textId="3686492C" w:rsidR="004E50C2" w:rsidRDefault="004E50C2" w:rsidP="004E50C2">
      <w:pPr>
        <w:pStyle w:val="Heading2"/>
      </w:pPr>
      <w:r>
        <w:t>2.1</w:t>
      </w:r>
      <w:r>
        <w:tab/>
        <w:t>Interference aspects</w:t>
      </w:r>
    </w:p>
    <w:p w14:paraId="3EEC3200" w14:textId="22B94369" w:rsidR="00371997" w:rsidRDefault="00371997" w:rsidP="00371997">
      <w:pPr>
        <w:pStyle w:val="Heading3"/>
      </w:pPr>
      <w:r>
        <w:t>2.1.1</w:t>
      </w:r>
      <w:r>
        <w:tab/>
        <w:t>PCI</w:t>
      </w:r>
    </w:p>
    <w:p w14:paraId="140AF918" w14:textId="66755935" w:rsidR="008D22F4" w:rsidRDefault="005F3B75" w:rsidP="004E50C2">
      <w:pPr>
        <w:rPr>
          <w:rFonts w:ascii="Arial" w:hAnsi="Arial" w:cs="Arial"/>
        </w:rPr>
      </w:pPr>
      <w:r>
        <w:rPr>
          <w:rFonts w:ascii="Arial" w:hAnsi="Arial" w:cs="Arial"/>
        </w:rPr>
        <w:t xml:space="preserve">There can be </w:t>
      </w:r>
      <w:r w:rsidR="008B18C1">
        <w:rPr>
          <w:rFonts w:ascii="Arial" w:hAnsi="Arial" w:cs="Arial"/>
        </w:rPr>
        <w:t>multiple ways to avoid PCI collision.</w:t>
      </w:r>
    </w:p>
    <w:p w14:paraId="6B0E791E" w14:textId="1AEF289D" w:rsidR="008B18C1" w:rsidRPr="00BD5573" w:rsidRDefault="008B18C1" w:rsidP="00BD5573">
      <w:pPr>
        <w:pStyle w:val="BodyText"/>
        <w:numPr>
          <w:ilvl w:val="0"/>
          <w:numId w:val="38"/>
        </w:numPr>
      </w:pPr>
      <w:r w:rsidRPr="00BD5573">
        <w:t>PCI partitioning</w:t>
      </w:r>
    </w:p>
    <w:p w14:paraId="41118A1A" w14:textId="5421F6FA" w:rsidR="004A7636" w:rsidRPr="00BD5573" w:rsidRDefault="008B18C1" w:rsidP="00BD5573">
      <w:pPr>
        <w:pStyle w:val="BodyText"/>
        <w:numPr>
          <w:ilvl w:val="0"/>
          <w:numId w:val="38"/>
        </w:numPr>
      </w:pPr>
      <w:r w:rsidRPr="00BD5573">
        <w:t xml:space="preserve">CUs exchanging </w:t>
      </w:r>
      <w:proofErr w:type="spellStart"/>
      <w:r w:rsidRPr="00BD5573">
        <w:t>signaling</w:t>
      </w:r>
      <w:proofErr w:type="spellEnd"/>
      <w:r w:rsidRPr="00BD5573">
        <w:t xml:space="preserve"> information on the range of PCIs (list of PCIs) </w:t>
      </w:r>
      <w:r w:rsidR="006E3646" w:rsidRPr="00BD5573">
        <w:t>which</w:t>
      </w:r>
      <w:r w:rsidRPr="00BD5573">
        <w:t xml:space="preserve"> have </w:t>
      </w:r>
      <w:r w:rsidR="006E3646" w:rsidRPr="00BD5573">
        <w:t xml:space="preserve">been </w:t>
      </w:r>
      <w:r w:rsidR="00CF142A" w:rsidRPr="00BD5573">
        <w:t>configured,</w:t>
      </w:r>
      <w:r w:rsidRPr="00BD5573">
        <w:t xml:space="preserve"> especially border area</w:t>
      </w:r>
      <w:r w:rsidR="00CF142A" w:rsidRPr="00BD5573">
        <w:t xml:space="preserve"> cell</w:t>
      </w:r>
      <w:r w:rsidRPr="00BD5573">
        <w:t xml:space="preserve"> list</w:t>
      </w:r>
      <w:r w:rsidR="00A65D11" w:rsidRPr="00BD5573">
        <w:t xml:space="preserve"> </w:t>
      </w:r>
      <w:r w:rsidR="0008602B" w:rsidRPr="00BD5573">
        <w:t xml:space="preserve">and </w:t>
      </w:r>
      <w:r w:rsidR="00E76ABC" w:rsidRPr="00BD5573">
        <w:t xml:space="preserve">informing </w:t>
      </w:r>
      <w:r w:rsidR="008710C9" w:rsidRPr="00BD5573">
        <w:t>to mobile IAB node whether the allocated PCI ID is reused by other network nodes</w:t>
      </w:r>
      <w:r w:rsidR="00E76ABC" w:rsidRPr="00BD5573">
        <w:t>/CUs</w:t>
      </w:r>
      <w:r w:rsidR="004A7636" w:rsidRPr="00BD5573">
        <w:t>.</w:t>
      </w:r>
    </w:p>
    <w:p w14:paraId="1E41AC27" w14:textId="6566A0B6" w:rsidR="00CF142A" w:rsidRPr="00BD5573" w:rsidRDefault="00CF142A" w:rsidP="00BD5573">
      <w:pPr>
        <w:pStyle w:val="BodyText"/>
        <w:numPr>
          <w:ilvl w:val="0"/>
          <w:numId w:val="38"/>
        </w:numPr>
      </w:pPr>
      <w:r w:rsidRPr="00BD5573">
        <w:t>Dynamic change of PCI</w:t>
      </w:r>
    </w:p>
    <w:p w14:paraId="7952C5FA" w14:textId="632B59C2" w:rsidR="008D22F4" w:rsidRPr="00BD5573" w:rsidRDefault="00F31153" w:rsidP="004E50C2">
      <w:pPr>
        <w:pStyle w:val="BodyText"/>
        <w:numPr>
          <w:ilvl w:val="0"/>
          <w:numId w:val="38"/>
        </w:numPr>
      </w:pPr>
      <w:r w:rsidRPr="00BD5573">
        <w:t>Creating a new logical DU and thus creating a new cell ID</w:t>
      </w:r>
    </w:p>
    <w:p w14:paraId="357498D0" w14:textId="6D22CC19" w:rsidR="00CA6BD2" w:rsidRDefault="00CA6BD2" w:rsidP="004E50C2">
      <w:pPr>
        <w:rPr>
          <w:rFonts w:ascii="Arial" w:hAnsi="Arial" w:cs="Arial"/>
        </w:rPr>
      </w:pPr>
      <w:r>
        <w:rPr>
          <w:rFonts w:ascii="Arial" w:hAnsi="Arial" w:cs="Arial"/>
        </w:rPr>
        <w:t xml:space="preserve">Solution 1 can be envisioned by OAM whereas for </w:t>
      </w:r>
      <w:r w:rsidR="00BD5573">
        <w:rPr>
          <w:rFonts w:ascii="Arial" w:hAnsi="Arial" w:cs="Arial"/>
        </w:rPr>
        <w:t xml:space="preserve">Solution 2 </w:t>
      </w:r>
      <w:r>
        <w:rPr>
          <w:rFonts w:ascii="Arial" w:hAnsi="Arial" w:cs="Arial"/>
        </w:rPr>
        <w:t>some signa</w:t>
      </w:r>
      <w:r w:rsidR="00BF3AD7">
        <w:rPr>
          <w:rFonts w:ascii="Arial" w:hAnsi="Arial" w:cs="Arial"/>
        </w:rPr>
        <w:t>l</w:t>
      </w:r>
      <w:r>
        <w:rPr>
          <w:rFonts w:ascii="Arial" w:hAnsi="Arial" w:cs="Arial"/>
        </w:rPr>
        <w:t>ling aspects may have to be designed.</w:t>
      </w:r>
    </w:p>
    <w:p w14:paraId="70EDF8A7" w14:textId="08D76FF5" w:rsidR="00CA6BD2" w:rsidRDefault="00CA6BD2" w:rsidP="004E50C2">
      <w:pPr>
        <w:rPr>
          <w:rFonts w:ascii="Arial" w:hAnsi="Arial" w:cs="Arial"/>
        </w:rPr>
      </w:pPr>
      <w:r>
        <w:rPr>
          <w:rFonts w:ascii="Arial" w:hAnsi="Arial" w:cs="Arial"/>
        </w:rPr>
        <w:t>Solution</w:t>
      </w:r>
      <w:r w:rsidR="006C2599">
        <w:rPr>
          <w:rFonts w:ascii="Arial" w:hAnsi="Arial" w:cs="Arial"/>
        </w:rPr>
        <w:t xml:space="preserve"> </w:t>
      </w:r>
      <w:r>
        <w:rPr>
          <w:rFonts w:ascii="Arial" w:hAnsi="Arial" w:cs="Arial"/>
        </w:rPr>
        <w:t>2 can be seen as proactive measures</w:t>
      </w:r>
      <w:r w:rsidR="006C2599">
        <w:rPr>
          <w:rFonts w:ascii="Arial" w:hAnsi="Arial" w:cs="Arial"/>
        </w:rPr>
        <w:t xml:space="preserve"> which can </w:t>
      </w:r>
      <w:r w:rsidR="00E76ABC">
        <w:rPr>
          <w:rFonts w:ascii="Arial" w:hAnsi="Arial" w:cs="Arial"/>
        </w:rPr>
        <w:t>alert the mobile-IAB</w:t>
      </w:r>
      <w:r w:rsidR="00F72BB5">
        <w:rPr>
          <w:rFonts w:ascii="Arial" w:hAnsi="Arial" w:cs="Arial"/>
        </w:rPr>
        <w:t xml:space="preserve"> </w:t>
      </w:r>
      <w:r w:rsidR="00EC57E1">
        <w:rPr>
          <w:rFonts w:ascii="Arial" w:hAnsi="Arial" w:cs="Arial"/>
        </w:rPr>
        <w:t>n</w:t>
      </w:r>
      <w:r w:rsidR="00F72BB5">
        <w:rPr>
          <w:rFonts w:ascii="Arial" w:hAnsi="Arial" w:cs="Arial"/>
        </w:rPr>
        <w:t>ode that there can be risk of collision while entering the new CU</w:t>
      </w:r>
      <w:r w:rsidR="00BD5573">
        <w:rPr>
          <w:rFonts w:ascii="Arial" w:hAnsi="Arial" w:cs="Arial"/>
        </w:rPr>
        <w:t xml:space="preserve"> service area</w:t>
      </w:r>
      <w:r w:rsidR="00F72BB5">
        <w:rPr>
          <w:rFonts w:ascii="Arial" w:hAnsi="Arial" w:cs="Arial"/>
        </w:rPr>
        <w:t xml:space="preserve">. As part of </w:t>
      </w:r>
      <w:r w:rsidR="003F5353">
        <w:rPr>
          <w:rFonts w:ascii="Arial" w:hAnsi="Arial" w:cs="Arial"/>
        </w:rPr>
        <w:t>full migration</w:t>
      </w:r>
      <w:r w:rsidR="006B1D11">
        <w:rPr>
          <w:rFonts w:ascii="Arial" w:hAnsi="Arial" w:cs="Arial"/>
        </w:rPr>
        <w:t xml:space="preserve"> (change of CU)</w:t>
      </w:r>
      <w:r w:rsidR="003F5353">
        <w:rPr>
          <w:rFonts w:ascii="Arial" w:hAnsi="Arial" w:cs="Arial"/>
        </w:rPr>
        <w:t xml:space="preserve">, solution 4 </w:t>
      </w:r>
      <w:r w:rsidR="0047542B">
        <w:rPr>
          <w:rFonts w:ascii="Arial" w:hAnsi="Arial" w:cs="Arial"/>
        </w:rPr>
        <w:t>may have to be performed</w:t>
      </w:r>
      <w:r w:rsidR="006B1D11">
        <w:rPr>
          <w:rFonts w:ascii="Arial" w:hAnsi="Arial" w:cs="Arial"/>
        </w:rPr>
        <w:t>. Hence, solution 2 and 4 could be realized together.</w:t>
      </w:r>
      <w:r w:rsidR="00ED507F">
        <w:rPr>
          <w:rFonts w:ascii="Arial" w:hAnsi="Arial" w:cs="Arial"/>
        </w:rPr>
        <w:t xml:space="preserve"> Solution 2 can </w:t>
      </w:r>
      <w:r w:rsidR="00A967E9">
        <w:rPr>
          <w:rFonts w:ascii="Arial" w:hAnsi="Arial" w:cs="Arial"/>
        </w:rPr>
        <w:t>indicate which range of PCIs should be used to avoid collision in the new CU.</w:t>
      </w:r>
    </w:p>
    <w:p w14:paraId="2B36B666" w14:textId="15B4624E" w:rsidR="007C08EB" w:rsidRDefault="006B1D11" w:rsidP="004E50C2">
      <w:pPr>
        <w:rPr>
          <w:rFonts w:ascii="Arial" w:hAnsi="Arial" w:cs="Arial"/>
        </w:rPr>
      </w:pPr>
      <w:r>
        <w:rPr>
          <w:rFonts w:ascii="Arial" w:hAnsi="Arial" w:cs="Arial"/>
        </w:rPr>
        <w:t xml:space="preserve">However, </w:t>
      </w:r>
      <w:r w:rsidR="004F1543">
        <w:rPr>
          <w:rFonts w:ascii="Arial" w:hAnsi="Arial" w:cs="Arial"/>
        </w:rPr>
        <w:t xml:space="preserve">Solution 3 and 4 would have large impacts in terms of service interruption, latency etc. Changing a PCI </w:t>
      </w:r>
      <w:r w:rsidR="00E330B3">
        <w:rPr>
          <w:rFonts w:ascii="Arial" w:hAnsi="Arial" w:cs="Arial"/>
        </w:rPr>
        <w:t xml:space="preserve">ID </w:t>
      </w:r>
      <w:r w:rsidR="004F1543">
        <w:rPr>
          <w:rFonts w:ascii="Arial" w:hAnsi="Arial" w:cs="Arial"/>
        </w:rPr>
        <w:t xml:space="preserve">on the fly is </w:t>
      </w:r>
      <w:r w:rsidR="00E330B3">
        <w:rPr>
          <w:rFonts w:ascii="Arial" w:hAnsi="Arial" w:cs="Arial"/>
        </w:rPr>
        <w:t xml:space="preserve">complex </w:t>
      </w:r>
      <w:r w:rsidR="00DD3EA6">
        <w:rPr>
          <w:rFonts w:ascii="Arial" w:hAnsi="Arial" w:cs="Arial"/>
        </w:rPr>
        <w:t>as all the reference signals must be re-generated</w:t>
      </w:r>
      <w:r w:rsidR="00A967E9">
        <w:rPr>
          <w:rFonts w:ascii="Arial" w:hAnsi="Arial" w:cs="Arial"/>
        </w:rPr>
        <w:t xml:space="preserve"> as per the new cell ID</w:t>
      </w:r>
      <w:r w:rsidR="00DD3EA6">
        <w:rPr>
          <w:rFonts w:ascii="Arial" w:hAnsi="Arial" w:cs="Arial"/>
        </w:rPr>
        <w:t>; UEs will have to resynchronize</w:t>
      </w:r>
      <w:r w:rsidR="00A967E9">
        <w:rPr>
          <w:rFonts w:ascii="Arial" w:hAnsi="Arial" w:cs="Arial"/>
        </w:rPr>
        <w:t xml:space="preserve"> and connected mode UEs </w:t>
      </w:r>
      <w:proofErr w:type="gramStart"/>
      <w:r w:rsidR="00A967E9">
        <w:rPr>
          <w:rFonts w:ascii="Arial" w:hAnsi="Arial" w:cs="Arial"/>
        </w:rPr>
        <w:t>have to</w:t>
      </w:r>
      <w:proofErr w:type="gramEnd"/>
      <w:r w:rsidR="00A967E9">
        <w:rPr>
          <w:rFonts w:ascii="Arial" w:hAnsi="Arial" w:cs="Arial"/>
        </w:rPr>
        <w:t xml:space="preserve"> be handed over to new cell</w:t>
      </w:r>
      <w:r w:rsidR="00DD3EA6">
        <w:rPr>
          <w:rFonts w:ascii="Arial" w:hAnsi="Arial" w:cs="Arial"/>
        </w:rPr>
        <w:t xml:space="preserve"> etc.</w:t>
      </w:r>
      <w:r>
        <w:rPr>
          <w:rFonts w:ascii="Arial" w:hAnsi="Arial" w:cs="Arial"/>
        </w:rPr>
        <w:t xml:space="preserve"> Hence, RAN2 should discuss whether there is need for solution 3 or solution 4 </w:t>
      </w:r>
      <w:r w:rsidR="007C08EB">
        <w:rPr>
          <w:rFonts w:ascii="Arial" w:hAnsi="Arial" w:cs="Arial"/>
        </w:rPr>
        <w:t xml:space="preserve">when there is intra-CU </w:t>
      </w:r>
      <w:r w:rsidR="00215F3E">
        <w:rPr>
          <w:rFonts w:ascii="Arial" w:hAnsi="Arial" w:cs="Arial"/>
        </w:rPr>
        <w:t>mobility</w:t>
      </w:r>
      <w:r w:rsidR="007C08EB">
        <w:rPr>
          <w:rFonts w:ascii="Arial" w:hAnsi="Arial" w:cs="Arial"/>
        </w:rPr>
        <w:t>.</w:t>
      </w:r>
      <w:r w:rsidR="007F2FDE">
        <w:rPr>
          <w:rFonts w:ascii="Arial" w:hAnsi="Arial" w:cs="Arial"/>
        </w:rPr>
        <w:t xml:space="preserve"> 1008 PCIs should be sufficient for one CU</w:t>
      </w:r>
      <w:r w:rsidR="00215F3E">
        <w:rPr>
          <w:rFonts w:ascii="Arial" w:hAnsi="Arial" w:cs="Arial"/>
        </w:rPr>
        <w:t xml:space="preserve"> and PCI partitioning between static DU cells and mobile IAB cells should avoid PCI collision.</w:t>
      </w:r>
    </w:p>
    <w:p w14:paraId="04491A8B" w14:textId="15E88005" w:rsidR="00BE6AE0" w:rsidRPr="00BD5573" w:rsidRDefault="00AD5CD1" w:rsidP="004E50C2">
      <w:pPr>
        <w:pStyle w:val="Observation"/>
        <w:ind w:left="1701" w:hanging="1701"/>
      </w:pPr>
      <w:bookmarkStart w:id="1" w:name="_Toc115391300"/>
      <w:r>
        <w:t xml:space="preserve">Need of PCI collision avoidance may be needed only for </w:t>
      </w:r>
      <w:r w:rsidR="00BD5573">
        <w:t>i</w:t>
      </w:r>
      <w:r>
        <w:t>nter-CU scenario.</w:t>
      </w:r>
      <w:bookmarkEnd w:id="1"/>
      <w:r>
        <w:t xml:space="preserve"> </w:t>
      </w:r>
    </w:p>
    <w:p w14:paraId="0A8C72F3" w14:textId="4BEECB0B" w:rsidR="00CD3948" w:rsidRDefault="00CD3948" w:rsidP="004E50C2">
      <w:pPr>
        <w:rPr>
          <w:rFonts w:ascii="Arial" w:hAnsi="Arial" w:cs="Arial"/>
        </w:rPr>
      </w:pPr>
      <w:r>
        <w:rPr>
          <w:rFonts w:ascii="Arial" w:hAnsi="Arial" w:cs="Arial"/>
        </w:rPr>
        <w:t xml:space="preserve">Considering that the interference may be short lived; RAN2 should make a conscious decision and may also need to consult RAN1 </w:t>
      </w:r>
      <w:r w:rsidR="0063618B">
        <w:rPr>
          <w:rFonts w:ascii="Arial" w:hAnsi="Arial" w:cs="Arial"/>
        </w:rPr>
        <w:t xml:space="preserve">if a solution involving </w:t>
      </w:r>
      <w:r w:rsidR="00BB415B">
        <w:rPr>
          <w:rFonts w:ascii="Arial" w:hAnsi="Arial" w:cs="Arial"/>
        </w:rPr>
        <w:t>3 or 4 (</w:t>
      </w:r>
      <w:r w:rsidR="00102D8C">
        <w:rPr>
          <w:rFonts w:ascii="Arial" w:hAnsi="Arial" w:cs="Arial"/>
        </w:rPr>
        <w:t>i.e.,</w:t>
      </w:r>
      <w:r w:rsidR="00BB415B">
        <w:rPr>
          <w:rFonts w:ascii="Arial" w:hAnsi="Arial" w:cs="Arial"/>
        </w:rPr>
        <w:t xml:space="preserve"> change of PCI) is needed</w:t>
      </w:r>
      <w:r w:rsidR="00A579D4">
        <w:rPr>
          <w:rFonts w:ascii="Arial" w:hAnsi="Arial" w:cs="Arial"/>
        </w:rPr>
        <w:t xml:space="preserve"> especially if RAN2 </w:t>
      </w:r>
      <w:r w:rsidR="00192258">
        <w:rPr>
          <w:rFonts w:ascii="Arial" w:hAnsi="Arial" w:cs="Arial"/>
        </w:rPr>
        <w:t xml:space="preserve">would </w:t>
      </w:r>
      <w:r w:rsidR="00A579D4">
        <w:rPr>
          <w:rFonts w:ascii="Arial" w:hAnsi="Arial" w:cs="Arial"/>
        </w:rPr>
        <w:t>consider</w:t>
      </w:r>
      <w:r w:rsidR="00192258">
        <w:rPr>
          <w:rFonts w:ascii="Arial" w:hAnsi="Arial" w:cs="Arial"/>
        </w:rPr>
        <w:t xml:space="preserve"> that PCI collision avoidance should be done </w:t>
      </w:r>
      <w:r w:rsidR="0042244D">
        <w:rPr>
          <w:rFonts w:ascii="Arial" w:hAnsi="Arial" w:cs="Arial"/>
        </w:rPr>
        <w:t>also for Intra-CU scenario</w:t>
      </w:r>
      <w:r w:rsidR="00BF3AD7">
        <w:rPr>
          <w:rFonts w:ascii="Arial" w:hAnsi="Arial" w:cs="Arial"/>
        </w:rPr>
        <w:t>s,</w:t>
      </w:r>
      <w:r w:rsidR="0042244D">
        <w:rPr>
          <w:rFonts w:ascii="Arial" w:hAnsi="Arial" w:cs="Arial"/>
        </w:rPr>
        <w:t xml:space="preserve"> i.e</w:t>
      </w:r>
      <w:r w:rsidR="00BF3AD7">
        <w:rPr>
          <w:rFonts w:ascii="Arial" w:hAnsi="Arial" w:cs="Arial"/>
        </w:rPr>
        <w:t>.,</w:t>
      </w:r>
      <w:r w:rsidR="0042244D">
        <w:rPr>
          <w:rFonts w:ascii="Arial" w:hAnsi="Arial" w:cs="Arial"/>
        </w:rPr>
        <w:t xml:space="preserve"> it can be frequent. If the risk of PCI collision is </w:t>
      </w:r>
      <w:r w:rsidR="00AB7475">
        <w:rPr>
          <w:rFonts w:ascii="Arial" w:hAnsi="Arial" w:cs="Arial"/>
        </w:rPr>
        <w:t>frequent,</w:t>
      </w:r>
      <w:r w:rsidR="0042244D">
        <w:rPr>
          <w:rFonts w:ascii="Arial" w:hAnsi="Arial" w:cs="Arial"/>
        </w:rPr>
        <w:t xml:space="preserve"> then RAN1 should identify </w:t>
      </w:r>
      <w:r w:rsidR="00BB415B">
        <w:rPr>
          <w:rFonts w:ascii="Arial" w:hAnsi="Arial" w:cs="Arial"/>
        </w:rPr>
        <w:t>other simple way</w:t>
      </w:r>
      <w:r w:rsidR="00BF3AD7">
        <w:rPr>
          <w:rFonts w:ascii="Arial" w:hAnsi="Arial" w:cs="Arial"/>
        </w:rPr>
        <w:t>s</w:t>
      </w:r>
      <w:r w:rsidR="00BB415B">
        <w:rPr>
          <w:rFonts w:ascii="Arial" w:hAnsi="Arial" w:cs="Arial"/>
        </w:rPr>
        <w:t xml:space="preserve"> to avoid collision</w:t>
      </w:r>
      <w:r w:rsidR="00BF3AD7">
        <w:rPr>
          <w:rFonts w:ascii="Arial" w:hAnsi="Arial" w:cs="Arial"/>
        </w:rPr>
        <w:t>s</w:t>
      </w:r>
      <w:r w:rsidR="0042244D">
        <w:rPr>
          <w:rFonts w:ascii="Arial" w:hAnsi="Arial" w:cs="Arial"/>
        </w:rPr>
        <w:t xml:space="preserve"> rather than dynamic PCI change which has large KPI degradation risk</w:t>
      </w:r>
      <w:r w:rsidR="00BB415B">
        <w:rPr>
          <w:rFonts w:ascii="Arial" w:hAnsi="Arial" w:cs="Arial"/>
        </w:rPr>
        <w:t>.</w:t>
      </w:r>
    </w:p>
    <w:p w14:paraId="5EDA3BF4" w14:textId="61B65DD8" w:rsidR="00394A36" w:rsidRDefault="00394A36" w:rsidP="004E50C2">
      <w:pPr>
        <w:rPr>
          <w:rFonts w:ascii="Arial" w:hAnsi="Arial" w:cs="Arial"/>
        </w:rPr>
      </w:pPr>
      <w:r>
        <w:rPr>
          <w:rFonts w:ascii="Arial" w:hAnsi="Arial" w:cs="Arial"/>
        </w:rPr>
        <w:t>We should note that inter-CU</w:t>
      </w:r>
      <w:r w:rsidR="00943836">
        <w:rPr>
          <w:rFonts w:ascii="Arial" w:hAnsi="Arial" w:cs="Arial"/>
        </w:rPr>
        <w:t xml:space="preserve"> PCI collision avoidance may come for free as </w:t>
      </w:r>
      <w:r w:rsidR="006C2D60">
        <w:rPr>
          <w:rFonts w:ascii="Arial" w:hAnsi="Arial" w:cs="Arial"/>
        </w:rPr>
        <w:t>solution 4 would be needed</w:t>
      </w:r>
      <w:r w:rsidR="00AD5CD1">
        <w:rPr>
          <w:rFonts w:ascii="Arial" w:hAnsi="Arial" w:cs="Arial"/>
        </w:rPr>
        <w:t xml:space="preserve"> for inter-CU migration.</w:t>
      </w:r>
    </w:p>
    <w:p w14:paraId="6FD0584E" w14:textId="611FA32F" w:rsidR="00AD5CD1" w:rsidRPr="00BD5573" w:rsidRDefault="00AD5CD1" w:rsidP="004E50C2">
      <w:pPr>
        <w:pStyle w:val="Observation"/>
        <w:ind w:left="1701" w:hanging="1701"/>
      </w:pPr>
      <w:bookmarkStart w:id="2" w:name="_Toc115391301"/>
      <w:r>
        <w:t xml:space="preserve">If any PCI collision </w:t>
      </w:r>
      <w:r w:rsidR="00BD5573">
        <w:t xml:space="preserve">happens </w:t>
      </w:r>
      <w:r>
        <w:t>when mobile IAB moves to new CU, this can be resolved</w:t>
      </w:r>
      <w:r w:rsidR="00B054F9">
        <w:t xml:space="preserve"> as part of full migration </w:t>
      </w:r>
      <w:r w:rsidR="00592916">
        <w:t>procedure i.e</w:t>
      </w:r>
      <w:r w:rsidR="00BD5573">
        <w:t>.,</w:t>
      </w:r>
      <w:r w:rsidR="00592916">
        <w:t xml:space="preserve"> no need to </w:t>
      </w:r>
      <w:r w:rsidR="00190154">
        <w:t>handle the PCI collision independently</w:t>
      </w:r>
      <w:r>
        <w:t>.</w:t>
      </w:r>
      <w:bookmarkEnd w:id="2"/>
      <w:r>
        <w:t xml:space="preserve"> </w:t>
      </w:r>
    </w:p>
    <w:p w14:paraId="63EED3DF" w14:textId="1B34BBB5" w:rsidR="00D0675B" w:rsidRDefault="70A6D60F" w:rsidP="00D0675B">
      <w:pPr>
        <w:pStyle w:val="Proposal"/>
      </w:pPr>
      <w:bookmarkStart w:id="3" w:name="_Toc115391307"/>
      <w:r>
        <w:t xml:space="preserve">Information </w:t>
      </w:r>
      <w:r w:rsidR="00D0675B">
        <w:t>of PCI range that have been used between CUs is e</w:t>
      </w:r>
      <w:r w:rsidR="002B74AD">
        <w:t>xchanged</w:t>
      </w:r>
      <w:r w:rsidR="003F5353">
        <w:t xml:space="preserve"> and informed to mobile IAB Node.</w:t>
      </w:r>
      <w:bookmarkEnd w:id="3"/>
    </w:p>
    <w:p w14:paraId="37F711C5" w14:textId="169CBC58" w:rsidR="00A232B1" w:rsidRDefault="00A232B1" w:rsidP="00D0675B">
      <w:pPr>
        <w:pStyle w:val="Proposal"/>
      </w:pPr>
      <w:bookmarkStart w:id="4" w:name="_Toc115391308"/>
      <w:r>
        <w:t xml:space="preserve">Mobile-IAB DU </w:t>
      </w:r>
      <w:r w:rsidR="00881E3E">
        <w:t>receives</w:t>
      </w:r>
      <w:r>
        <w:t xml:space="preserve"> a range of cell</w:t>
      </w:r>
      <w:r w:rsidR="00881E3E">
        <w:t xml:space="preserve"> that it can use in a new</w:t>
      </w:r>
      <w:r w:rsidR="008F75BB">
        <w:t>/target</w:t>
      </w:r>
      <w:r w:rsidR="00881E3E">
        <w:t xml:space="preserve"> CU</w:t>
      </w:r>
      <w:r w:rsidR="005C5B75">
        <w:t xml:space="preserve"> </w:t>
      </w:r>
      <w:r w:rsidR="008F75BB">
        <w:t>from</w:t>
      </w:r>
      <w:r w:rsidR="005C5B75">
        <w:t xml:space="preserve"> </w:t>
      </w:r>
      <w:r w:rsidR="00145B48">
        <w:t>source CU</w:t>
      </w:r>
      <w:r w:rsidR="00DD1D0C">
        <w:t xml:space="preserve"> to avoid collision.</w:t>
      </w:r>
      <w:bookmarkEnd w:id="4"/>
      <w:r w:rsidR="00DD1D0C">
        <w:t xml:space="preserve"> </w:t>
      </w:r>
    </w:p>
    <w:p w14:paraId="7D54F559" w14:textId="488E766E" w:rsidR="00BB6DE5" w:rsidRDefault="00BB6DE5" w:rsidP="00D0675B">
      <w:pPr>
        <w:pStyle w:val="Proposal"/>
      </w:pPr>
      <w:bookmarkStart w:id="5" w:name="_Toc115391309"/>
      <w:r>
        <w:t>RAN2 to avoid solution</w:t>
      </w:r>
      <w:r w:rsidR="00BD5573">
        <w:t>s</w:t>
      </w:r>
      <w:r>
        <w:t xml:space="preserve"> where PCI may have to be changed on the fly (dynamic</w:t>
      </w:r>
      <w:r w:rsidR="00BD5573">
        <w:t>ally</w:t>
      </w:r>
      <w:r>
        <w:t>)</w:t>
      </w:r>
      <w:r w:rsidR="00BE6AE0">
        <w:t xml:space="preserve"> at least for </w:t>
      </w:r>
      <w:r w:rsidR="00BD5573">
        <w:t>i</w:t>
      </w:r>
      <w:r w:rsidR="00BE6AE0">
        <w:t>ntra-CU</w:t>
      </w:r>
      <w:r w:rsidR="00215F3E">
        <w:t xml:space="preserve"> Mobility</w:t>
      </w:r>
      <w:r>
        <w:t>.</w:t>
      </w:r>
      <w:bookmarkEnd w:id="5"/>
    </w:p>
    <w:p w14:paraId="30295419" w14:textId="2156A485" w:rsidR="002B74AD" w:rsidRPr="00DA0D70" w:rsidRDefault="002B74AD" w:rsidP="00D0675B">
      <w:pPr>
        <w:pStyle w:val="Proposal"/>
      </w:pPr>
      <w:bookmarkStart w:id="6" w:name="_Toc115391310"/>
      <w:r>
        <w:t>RAN2 to send LS to RAN1 on the severity of interference when the PCI collides and if solution of changing PCI is required</w:t>
      </w:r>
      <w:r w:rsidR="00BB6DE5">
        <w:t xml:space="preserve"> or can be handled in any other way</w:t>
      </w:r>
      <w:r>
        <w:t>.</w:t>
      </w:r>
      <w:bookmarkEnd w:id="6"/>
    </w:p>
    <w:p w14:paraId="36945444" w14:textId="6E330749" w:rsidR="00371997" w:rsidRDefault="00371997" w:rsidP="00371997">
      <w:pPr>
        <w:pStyle w:val="Heading3"/>
      </w:pPr>
      <w:r>
        <w:t>2.1.2</w:t>
      </w:r>
      <w:r>
        <w:tab/>
        <w:t>RACH</w:t>
      </w:r>
    </w:p>
    <w:p w14:paraId="69B0E829" w14:textId="11F4F705" w:rsidR="00371997" w:rsidRDefault="00371997" w:rsidP="00BD5573">
      <w:pPr>
        <w:pStyle w:val="BodyText"/>
      </w:pPr>
      <w:r>
        <w:t>When it comes to RACH</w:t>
      </w:r>
      <w:r w:rsidR="00321E88">
        <w:t xml:space="preserve">, it is </w:t>
      </w:r>
      <w:r w:rsidR="009E0A3B">
        <w:t>primarily</w:t>
      </w:r>
      <w:r w:rsidR="00321E88">
        <w:t xml:space="preserve"> the </w:t>
      </w:r>
      <w:r w:rsidR="00BE174B">
        <w:t>initial</w:t>
      </w:r>
      <w:r w:rsidR="00321E88">
        <w:t xml:space="preserve"> root sequence that may cause issue</w:t>
      </w:r>
      <w:r w:rsidR="009E0A3B">
        <w:t>. I</w:t>
      </w:r>
      <w:r w:rsidR="00321E88">
        <w:t xml:space="preserve">f </w:t>
      </w:r>
      <w:r w:rsidR="009E0A3B">
        <w:t>two</w:t>
      </w:r>
      <w:r w:rsidR="00321E88">
        <w:t xml:space="preserve"> cells have </w:t>
      </w:r>
      <w:r w:rsidR="00BE174B">
        <w:t xml:space="preserve">the </w:t>
      </w:r>
      <w:r w:rsidR="00321E88">
        <w:t>same root sequence</w:t>
      </w:r>
      <w:r w:rsidR="009E0A3B">
        <w:t xml:space="preserve"> and if a UE sends a preamble, both the </w:t>
      </w:r>
      <w:r w:rsidR="00115D57">
        <w:t>cells/</w:t>
      </w:r>
      <w:proofErr w:type="spellStart"/>
      <w:r w:rsidR="009E0A3B">
        <w:t>gNB</w:t>
      </w:r>
      <w:r w:rsidR="00115D57">
        <w:t>s</w:t>
      </w:r>
      <w:proofErr w:type="spellEnd"/>
      <w:r w:rsidR="00115D57">
        <w:t xml:space="preserve"> would receive and respond. Changing </w:t>
      </w:r>
      <w:r w:rsidR="00115D57">
        <w:lastRenderedPageBreak/>
        <w:t xml:space="preserve">the root sequence </w:t>
      </w:r>
      <w:r w:rsidR="00FA435C">
        <w:t xml:space="preserve">number on the fly may not be that severe as changing the PCI; but still it should be avoided unless </w:t>
      </w:r>
      <w:proofErr w:type="gramStart"/>
      <w:r w:rsidR="00FA435C">
        <w:t>really necessary</w:t>
      </w:r>
      <w:proofErr w:type="gramEnd"/>
      <w:r w:rsidR="00FA435C">
        <w:t>.</w:t>
      </w:r>
    </w:p>
    <w:p w14:paraId="715F4AEB" w14:textId="18A5DCD0" w:rsidR="00FA435C" w:rsidRPr="00371997" w:rsidRDefault="00FA435C" w:rsidP="00BD5573">
      <w:pPr>
        <w:pStyle w:val="Proposal"/>
      </w:pPr>
      <w:bookmarkStart w:id="7" w:name="_Toc115391311"/>
      <w:r w:rsidRPr="00FA435C">
        <w:rPr>
          <w:rFonts w:cs="Arial"/>
        </w:rPr>
        <w:t xml:space="preserve">RAN2 to </w:t>
      </w:r>
      <w:r w:rsidRPr="00A65766">
        <w:t xml:space="preserve">send an LS to RAN1 to </w:t>
      </w:r>
      <w:r>
        <w:t xml:space="preserve">the severity of interference when the RACH resource collides and </w:t>
      </w:r>
      <w:r w:rsidR="00FB0E7C">
        <w:t>if solution of changing RACH resources is required or can be handled in any other way.</w:t>
      </w:r>
      <w:bookmarkEnd w:id="7"/>
    </w:p>
    <w:p w14:paraId="4782C771" w14:textId="06CCB6A5" w:rsidR="00FB0E7C" w:rsidRDefault="00FB0E7C" w:rsidP="00FB0E7C">
      <w:pPr>
        <w:pStyle w:val="Heading2"/>
      </w:pPr>
      <w:r>
        <w:t>2.2</w:t>
      </w:r>
      <w:r>
        <w:tab/>
        <w:t xml:space="preserve">LS from </w:t>
      </w:r>
      <w:r w:rsidR="004002AA">
        <w:t>SA2</w:t>
      </w:r>
      <w:r w:rsidR="008F676B">
        <w:t xml:space="preserve"> on TAC/RAN Area Code</w:t>
      </w:r>
    </w:p>
    <w:p w14:paraId="4668EEBA" w14:textId="51615D4F" w:rsidR="006A1EEC" w:rsidRPr="002C78CE" w:rsidRDefault="0011683B" w:rsidP="002C78CE">
      <w:pPr>
        <w:rPr>
          <w:rFonts w:ascii="Arial" w:hAnsi="Arial" w:cs="Arial"/>
        </w:rPr>
      </w:pPr>
      <w:r w:rsidRPr="002C78CE">
        <w:rPr>
          <w:rFonts w:ascii="Arial" w:hAnsi="Arial" w:cs="Arial"/>
        </w:rPr>
        <w:t>Tracking</w:t>
      </w:r>
      <w:r w:rsidR="00466B33" w:rsidRPr="002C78CE">
        <w:rPr>
          <w:rFonts w:ascii="Arial" w:hAnsi="Arial" w:cs="Arial"/>
        </w:rPr>
        <w:t xml:space="preserve"> Area code</w:t>
      </w:r>
      <w:r w:rsidR="008F676B">
        <w:rPr>
          <w:rFonts w:ascii="Arial" w:hAnsi="Arial" w:cs="Arial"/>
        </w:rPr>
        <w:t xml:space="preserve"> and RAN Area code</w:t>
      </w:r>
      <w:r w:rsidR="00466B33" w:rsidRPr="002C78CE">
        <w:rPr>
          <w:rFonts w:ascii="Arial" w:hAnsi="Arial" w:cs="Arial"/>
        </w:rPr>
        <w:t xml:space="preserve"> are designed in a way to also manage paging</w:t>
      </w:r>
      <w:r w:rsidR="003C299A">
        <w:rPr>
          <w:rFonts w:ascii="Arial" w:hAnsi="Arial" w:cs="Arial"/>
        </w:rPr>
        <w:t xml:space="preserve"> in efficient way</w:t>
      </w:r>
      <w:r w:rsidR="003732F6" w:rsidRPr="002C78CE">
        <w:rPr>
          <w:rFonts w:ascii="Arial" w:hAnsi="Arial" w:cs="Arial"/>
        </w:rPr>
        <w:t xml:space="preserve">. If TAC is large, the CN </w:t>
      </w:r>
      <w:proofErr w:type="gramStart"/>
      <w:r w:rsidR="003732F6" w:rsidRPr="002C78CE">
        <w:rPr>
          <w:rFonts w:ascii="Arial" w:hAnsi="Arial" w:cs="Arial"/>
        </w:rPr>
        <w:t>has to</w:t>
      </w:r>
      <w:proofErr w:type="gramEnd"/>
      <w:r w:rsidR="003732F6" w:rsidRPr="002C78CE">
        <w:rPr>
          <w:rFonts w:ascii="Arial" w:hAnsi="Arial" w:cs="Arial"/>
        </w:rPr>
        <w:t xml:space="preserve"> send page to a large area</w:t>
      </w:r>
      <w:r w:rsidR="00E35B10" w:rsidRPr="002C78CE">
        <w:rPr>
          <w:rFonts w:ascii="Arial" w:hAnsi="Arial" w:cs="Arial"/>
        </w:rPr>
        <w:t xml:space="preserve"> which could comprise several </w:t>
      </w:r>
      <w:proofErr w:type="spellStart"/>
      <w:r w:rsidR="00E35B10" w:rsidRPr="002C78CE">
        <w:rPr>
          <w:rFonts w:ascii="Arial" w:hAnsi="Arial" w:cs="Arial"/>
        </w:rPr>
        <w:t>gNBs</w:t>
      </w:r>
      <w:proofErr w:type="spellEnd"/>
      <w:r w:rsidR="003732F6" w:rsidRPr="002C78CE">
        <w:rPr>
          <w:rFonts w:ascii="Arial" w:hAnsi="Arial" w:cs="Arial"/>
        </w:rPr>
        <w:t xml:space="preserve">. </w:t>
      </w:r>
      <w:r w:rsidRPr="002C78CE">
        <w:rPr>
          <w:rFonts w:ascii="Arial" w:hAnsi="Arial" w:cs="Arial"/>
        </w:rPr>
        <w:t xml:space="preserve">Having large TA on the other hand reduces the amount of </w:t>
      </w:r>
      <w:r w:rsidR="006A1EEC" w:rsidRPr="002C78CE">
        <w:rPr>
          <w:rFonts w:ascii="Arial" w:hAnsi="Arial" w:cs="Arial"/>
        </w:rPr>
        <w:t>TAU that UE may have to perform.</w:t>
      </w:r>
    </w:p>
    <w:p w14:paraId="7E9152EF" w14:textId="57C12F67" w:rsidR="00FB0E7C" w:rsidRPr="002C78CE" w:rsidRDefault="006A1EEC" w:rsidP="002C78CE">
      <w:pPr>
        <w:rPr>
          <w:rFonts w:ascii="Arial" w:hAnsi="Arial" w:cs="Arial"/>
        </w:rPr>
      </w:pPr>
      <w:r w:rsidRPr="01D2464F">
        <w:rPr>
          <w:rFonts w:ascii="Arial" w:hAnsi="Arial" w:cs="Arial"/>
        </w:rPr>
        <w:t xml:space="preserve">As mobile IAB is moving like a regular UE; it may </w:t>
      </w:r>
      <w:r w:rsidR="00C5061C" w:rsidRPr="01D2464F">
        <w:rPr>
          <w:rFonts w:ascii="Arial" w:hAnsi="Arial" w:cs="Arial"/>
        </w:rPr>
        <w:t>move to a new TAU. The question in this case is whether the cells belonging to mobile IAB</w:t>
      </w:r>
      <w:r w:rsidR="0011683B" w:rsidRPr="01D2464F">
        <w:rPr>
          <w:rFonts w:ascii="Arial" w:hAnsi="Arial" w:cs="Arial"/>
        </w:rPr>
        <w:t xml:space="preserve"> </w:t>
      </w:r>
      <w:r w:rsidR="00C5061C" w:rsidRPr="01D2464F">
        <w:rPr>
          <w:rFonts w:ascii="Arial" w:hAnsi="Arial" w:cs="Arial"/>
        </w:rPr>
        <w:t>DU</w:t>
      </w:r>
      <w:r w:rsidR="005C3F9D" w:rsidRPr="01D2464F">
        <w:rPr>
          <w:rFonts w:ascii="Arial" w:hAnsi="Arial" w:cs="Arial"/>
        </w:rPr>
        <w:t xml:space="preserve"> mirror the new TAC</w:t>
      </w:r>
      <w:r w:rsidR="00C42804" w:rsidRPr="01D2464F">
        <w:rPr>
          <w:rFonts w:ascii="Arial" w:hAnsi="Arial" w:cs="Arial"/>
        </w:rPr>
        <w:t xml:space="preserve"> (i.e</w:t>
      </w:r>
      <w:r w:rsidR="009A11B4" w:rsidRPr="01D2464F">
        <w:rPr>
          <w:rFonts w:ascii="Arial" w:hAnsi="Arial" w:cs="Arial"/>
        </w:rPr>
        <w:t>.</w:t>
      </w:r>
      <w:r w:rsidR="00C42804" w:rsidRPr="01D2464F">
        <w:rPr>
          <w:rFonts w:ascii="Arial" w:hAnsi="Arial" w:cs="Arial"/>
        </w:rPr>
        <w:t>, change TAC)</w:t>
      </w:r>
      <w:r w:rsidR="00A114DF" w:rsidRPr="01D2464F">
        <w:rPr>
          <w:rFonts w:ascii="Arial" w:hAnsi="Arial" w:cs="Arial"/>
        </w:rPr>
        <w:t xml:space="preserve"> that mobile-IAB MT registers to</w:t>
      </w:r>
      <w:r w:rsidR="005C3F9D" w:rsidRPr="01D2464F">
        <w:rPr>
          <w:rFonts w:ascii="Arial" w:hAnsi="Arial" w:cs="Arial"/>
        </w:rPr>
        <w:t xml:space="preserve"> or </w:t>
      </w:r>
      <w:r w:rsidR="00C42804" w:rsidRPr="01D2464F">
        <w:rPr>
          <w:rFonts w:ascii="Arial" w:hAnsi="Arial" w:cs="Arial"/>
        </w:rPr>
        <w:t xml:space="preserve">continue </w:t>
      </w:r>
      <w:r w:rsidR="005C3F9D" w:rsidRPr="01D2464F">
        <w:rPr>
          <w:rFonts w:ascii="Arial" w:hAnsi="Arial" w:cs="Arial"/>
        </w:rPr>
        <w:t>keep</w:t>
      </w:r>
      <w:r w:rsidR="00C42804" w:rsidRPr="01D2464F">
        <w:rPr>
          <w:rFonts w:ascii="Arial" w:hAnsi="Arial" w:cs="Arial"/>
        </w:rPr>
        <w:t>ing</w:t>
      </w:r>
      <w:r w:rsidR="005C3F9D" w:rsidRPr="01D2464F">
        <w:rPr>
          <w:rFonts w:ascii="Arial" w:hAnsi="Arial" w:cs="Arial"/>
        </w:rPr>
        <w:t xml:space="preserve"> the same TAC</w:t>
      </w:r>
      <w:r w:rsidR="00C42804" w:rsidRPr="01D2464F">
        <w:rPr>
          <w:rFonts w:ascii="Arial" w:hAnsi="Arial" w:cs="Arial"/>
        </w:rPr>
        <w:t xml:space="preserve"> (i.e., </w:t>
      </w:r>
      <w:r w:rsidR="00BD5573">
        <w:rPr>
          <w:rFonts w:ascii="Arial" w:hAnsi="Arial" w:cs="Arial"/>
        </w:rPr>
        <w:t>dedicated</w:t>
      </w:r>
      <w:r w:rsidR="00C42804" w:rsidRPr="01D2464F">
        <w:rPr>
          <w:rFonts w:ascii="Arial" w:hAnsi="Arial" w:cs="Arial"/>
        </w:rPr>
        <w:t xml:space="preserve"> TAC)</w:t>
      </w:r>
      <w:r w:rsidR="005C3F9D" w:rsidRPr="01D2464F">
        <w:rPr>
          <w:rFonts w:ascii="Arial" w:hAnsi="Arial" w:cs="Arial"/>
        </w:rPr>
        <w:t>.</w:t>
      </w:r>
      <w:r w:rsidR="00C5061C" w:rsidRPr="01D2464F">
        <w:rPr>
          <w:rFonts w:ascii="Arial" w:hAnsi="Arial" w:cs="Arial"/>
        </w:rPr>
        <w:t xml:space="preserve"> </w:t>
      </w:r>
    </w:p>
    <w:p w14:paraId="0017FAB5" w14:textId="21361982" w:rsidR="0080626A" w:rsidRPr="002C78CE" w:rsidRDefault="005C3F9D" w:rsidP="002C78CE">
      <w:pPr>
        <w:rPr>
          <w:rFonts w:ascii="Arial" w:hAnsi="Arial" w:cs="Arial"/>
        </w:rPr>
      </w:pPr>
      <w:r w:rsidRPr="7F524D19">
        <w:rPr>
          <w:rFonts w:ascii="Arial" w:hAnsi="Arial" w:cs="Arial"/>
        </w:rPr>
        <w:t xml:space="preserve">From our point of view, we prefer to update the TAU to reflect the new area so that AMF can easily reach/page the UEs served by mobile IAB node. </w:t>
      </w:r>
      <w:r w:rsidR="008835D1" w:rsidRPr="7F524D19">
        <w:rPr>
          <w:rFonts w:ascii="Arial" w:hAnsi="Arial" w:cs="Arial"/>
        </w:rPr>
        <w:t xml:space="preserve"> If that is not the case and mobile IAB has the static </w:t>
      </w:r>
      <w:r w:rsidR="00F637C9" w:rsidRPr="7F524D19">
        <w:rPr>
          <w:rFonts w:ascii="Arial" w:hAnsi="Arial" w:cs="Arial"/>
        </w:rPr>
        <w:t>TAU,</w:t>
      </w:r>
      <w:r w:rsidR="008835D1" w:rsidRPr="7F524D19">
        <w:rPr>
          <w:rFonts w:ascii="Arial" w:hAnsi="Arial" w:cs="Arial"/>
        </w:rPr>
        <w:t xml:space="preserve"> </w:t>
      </w:r>
      <w:r w:rsidR="0077158F" w:rsidRPr="7F524D19">
        <w:rPr>
          <w:rFonts w:ascii="Arial" w:hAnsi="Arial" w:cs="Arial"/>
        </w:rPr>
        <w:t xml:space="preserve">then AMF </w:t>
      </w:r>
      <w:r w:rsidR="009A11B4" w:rsidRPr="7F524D19">
        <w:rPr>
          <w:rFonts w:ascii="Arial" w:hAnsi="Arial" w:cs="Arial"/>
        </w:rPr>
        <w:t>must</w:t>
      </w:r>
      <w:r w:rsidR="0077158F" w:rsidRPr="7F524D19">
        <w:rPr>
          <w:rFonts w:ascii="Arial" w:hAnsi="Arial" w:cs="Arial"/>
        </w:rPr>
        <w:t xml:space="preserve"> figure out by some other means as where the mobile IAB is and </w:t>
      </w:r>
      <w:r w:rsidR="008F74CC" w:rsidRPr="7F524D19">
        <w:rPr>
          <w:rFonts w:ascii="Arial" w:hAnsi="Arial" w:cs="Arial"/>
        </w:rPr>
        <w:t>its UEs</w:t>
      </w:r>
      <w:r w:rsidR="00A575CD" w:rsidRPr="7F524D19">
        <w:rPr>
          <w:rFonts w:ascii="Arial" w:hAnsi="Arial" w:cs="Arial"/>
        </w:rPr>
        <w:t xml:space="preserve"> are currently. The new </w:t>
      </w:r>
      <w:proofErr w:type="spellStart"/>
      <w:r w:rsidR="00A575CD" w:rsidRPr="7F524D19">
        <w:rPr>
          <w:rFonts w:ascii="Arial" w:hAnsi="Arial" w:cs="Arial"/>
        </w:rPr>
        <w:t>signaling</w:t>
      </w:r>
      <w:proofErr w:type="spellEnd"/>
      <w:r w:rsidR="00A575CD" w:rsidRPr="7F524D19">
        <w:rPr>
          <w:rFonts w:ascii="Arial" w:hAnsi="Arial" w:cs="Arial"/>
        </w:rPr>
        <w:t xml:space="preserve"> indication to AMF during </w:t>
      </w:r>
      <w:r w:rsidR="003F6BD0" w:rsidRPr="7F524D19">
        <w:rPr>
          <w:rFonts w:ascii="Arial" w:hAnsi="Arial" w:cs="Arial"/>
        </w:rPr>
        <w:t xml:space="preserve">NAS registration </w:t>
      </w:r>
      <w:r w:rsidR="00A575CD" w:rsidRPr="7F524D19">
        <w:rPr>
          <w:rFonts w:ascii="Arial" w:hAnsi="Arial" w:cs="Arial"/>
        </w:rPr>
        <w:t xml:space="preserve">may </w:t>
      </w:r>
      <w:r w:rsidR="003F6BD0" w:rsidRPr="7F524D19">
        <w:rPr>
          <w:rFonts w:ascii="Arial" w:hAnsi="Arial" w:cs="Arial"/>
        </w:rPr>
        <w:t>need</w:t>
      </w:r>
      <w:r w:rsidR="00A575CD" w:rsidRPr="7F524D19">
        <w:rPr>
          <w:rFonts w:ascii="Arial" w:hAnsi="Arial" w:cs="Arial"/>
        </w:rPr>
        <w:t xml:space="preserve"> to include parent IAB cell ID etc. </w:t>
      </w:r>
      <w:r w:rsidR="669103A8" w:rsidRPr="7F524D19">
        <w:rPr>
          <w:rFonts w:ascii="Arial" w:hAnsi="Arial" w:cs="Arial"/>
        </w:rPr>
        <w:t xml:space="preserve">But </w:t>
      </w:r>
      <w:r w:rsidR="3F26EB72" w:rsidRPr="7F524D19">
        <w:rPr>
          <w:rFonts w:ascii="Arial" w:hAnsi="Arial" w:cs="Arial"/>
        </w:rPr>
        <w:t>w</w:t>
      </w:r>
      <w:r w:rsidR="00A575CD" w:rsidRPr="7F524D19">
        <w:rPr>
          <w:rFonts w:ascii="Arial" w:hAnsi="Arial" w:cs="Arial"/>
        </w:rPr>
        <w:t xml:space="preserve">e </w:t>
      </w:r>
      <w:r w:rsidR="1A1D8428" w:rsidRPr="7F524D19">
        <w:rPr>
          <w:rFonts w:ascii="Arial" w:hAnsi="Arial" w:cs="Arial"/>
        </w:rPr>
        <w:t>consider</w:t>
      </w:r>
      <w:r w:rsidR="0080626A" w:rsidRPr="7F524D19">
        <w:rPr>
          <w:rFonts w:ascii="Arial" w:hAnsi="Arial" w:cs="Arial"/>
        </w:rPr>
        <w:t xml:space="preserve"> changing the TAC </w:t>
      </w:r>
      <w:r w:rsidR="34F32B51" w:rsidRPr="7F524D19">
        <w:rPr>
          <w:rFonts w:ascii="Arial" w:hAnsi="Arial" w:cs="Arial"/>
        </w:rPr>
        <w:t>is more</w:t>
      </w:r>
      <w:r w:rsidR="0080626A" w:rsidRPr="7F524D19">
        <w:rPr>
          <w:rFonts w:ascii="Arial" w:hAnsi="Arial" w:cs="Arial"/>
        </w:rPr>
        <w:t xml:space="preserve"> logical.</w:t>
      </w:r>
    </w:p>
    <w:p w14:paraId="32F9AA67" w14:textId="75C53041" w:rsidR="0080626A" w:rsidRDefault="0080626A" w:rsidP="002C78CE">
      <w:pPr>
        <w:rPr>
          <w:rStyle w:val="IvDbodytextChar"/>
        </w:rPr>
      </w:pPr>
      <w:r w:rsidRPr="002C78CE">
        <w:rPr>
          <w:rStyle w:val="IvDbodytextChar"/>
          <w:iCs/>
        </w:rPr>
        <w:t>Mobile</w:t>
      </w:r>
      <w:r w:rsidRPr="002C78CE">
        <w:rPr>
          <w:rStyle w:val="IvDbodytextChar"/>
        </w:rPr>
        <w:t xml:space="preserve"> IAB-MT </w:t>
      </w:r>
      <w:r w:rsidRPr="002C78CE">
        <w:rPr>
          <w:rStyle w:val="IvDbodytextChar"/>
          <w:iCs/>
        </w:rPr>
        <w:t>can</w:t>
      </w:r>
      <w:r w:rsidRPr="002C78CE">
        <w:rPr>
          <w:rStyle w:val="IvDbodytextChar"/>
        </w:rPr>
        <w:t xml:space="preserve"> acquire the SIBs from its serving cell and extract the TAC, RAN Area Code and informing these to the mobile IAB-DU. The mobile IAB-DU </w:t>
      </w:r>
      <w:r w:rsidRPr="002C78CE">
        <w:rPr>
          <w:rStyle w:val="IvDbodytextChar"/>
          <w:i/>
        </w:rPr>
        <w:t xml:space="preserve">can </w:t>
      </w:r>
      <w:r w:rsidRPr="002C78CE">
        <w:rPr>
          <w:rStyle w:val="IvDbodytextChar"/>
        </w:rPr>
        <w:t>verify/check if there is change in TAC or R</w:t>
      </w:r>
      <w:r w:rsidR="00562A86" w:rsidRPr="002C78CE">
        <w:rPr>
          <w:rStyle w:val="IvDbodytextChar"/>
          <w:i/>
        </w:rPr>
        <w:t xml:space="preserve">AN </w:t>
      </w:r>
      <w:r w:rsidR="00562A86" w:rsidRPr="00B81BE5">
        <w:rPr>
          <w:rStyle w:val="IvDbodytextChar"/>
          <w:iCs/>
        </w:rPr>
        <w:t>Area code</w:t>
      </w:r>
      <w:r w:rsidRPr="002C78CE">
        <w:rPr>
          <w:rStyle w:val="IvDbodytextChar"/>
        </w:rPr>
        <w:t xml:space="preserve">. If there is any change, the SIB content of mobile IAB-DU cells </w:t>
      </w:r>
      <w:r w:rsidR="00562A86" w:rsidRPr="002C78CE">
        <w:rPr>
          <w:rStyle w:val="IvDbodytextChar"/>
          <w:iCs/>
        </w:rPr>
        <w:t>can be</w:t>
      </w:r>
      <w:r w:rsidRPr="002C78CE">
        <w:rPr>
          <w:rStyle w:val="IvDbodytextChar"/>
        </w:rPr>
        <w:t xml:space="preserve"> populated/updated with the new values. </w:t>
      </w:r>
    </w:p>
    <w:p w14:paraId="71534B24" w14:textId="7D9EC48C" w:rsidR="00075743" w:rsidRPr="00DA0D70" w:rsidRDefault="00075743" w:rsidP="00075743">
      <w:pPr>
        <w:pStyle w:val="Proposal"/>
      </w:pPr>
      <w:bookmarkStart w:id="8" w:name="_Toc115391312"/>
      <w:r>
        <w:t>Mobile-IAB cells mirror the same TAC</w:t>
      </w:r>
      <w:r w:rsidR="002A35AA">
        <w:t>/RAN area code</w:t>
      </w:r>
      <w:r>
        <w:t xml:space="preserve"> that mobile-IAB-MT </w:t>
      </w:r>
      <w:r w:rsidR="002A35AA">
        <w:t>selects</w:t>
      </w:r>
      <w:r>
        <w:t>.</w:t>
      </w:r>
      <w:bookmarkEnd w:id="8"/>
    </w:p>
    <w:p w14:paraId="310B7BBE" w14:textId="7C84330F" w:rsidR="00F63950" w:rsidRDefault="00F14DA2" w:rsidP="00F14DA2">
      <w:pPr>
        <w:pStyle w:val="Heading2"/>
      </w:pPr>
      <w:r>
        <w:t>2.</w:t>
      </w:r>
      <w:r w:rsidR="004002AA">
        <w:t>3</w:t>
      </w:r>
      <w:r w:rsidR="004E50C2">
        <w:tab/>
      </w:r>
      <w:r w:rsidR="00A61948">
        <w:t>Migration</w:t>
      </w:r>
      <w:r>
        <w:t xml:space="preserve"> aspects</w:t>
      </w:r>
    </w:p>
    <w:p w14:paraId="60DAD6B4" w14:textId="77777777" w:rsidR="008D1D70" w:rsidRPr="008D1D70" w:rsidRDefault="008D1D70" w:rsidP="008D1D70">
      <w:pPr>
        <w:spacing w:before="120" w:after="0"/>
        <w:rPr>
          <w:rFonts w:ascii="Arial" w:hAnsi="Arial" w:cs="Arial"/>
          <w:bCs/>
        </w:rPr>
      </w:pPr>
      <w:r w:rsidRPr="008D1D70">
        <w:rPr>
          <w:rFonts w:ascii="Arial" w:hAnsi="Arial" w:cs="Arial"/>
          <w:bCs/>
        </w:rPr>
        <w:t>The main task for the Rel-18 IAB WI is to specify the procedure for enabling IAB-node mobility. The Rel-17 specifications support partial migration of IAB-nodes, where the IAB-MT of an IAB-node is handed over between two donor CUs, while the F1 traffic traversing/terminated at the co-located IAB-DU is redirected to traverse the donor DU serving the IAB-MT after the IAB-MT handover (HO). The termination points of the F1 traffic traversing/terminated at the co-located IAB-DU remain unchanged.</w:t>
      </w:r>
    </w:p>
    <w:p w14:paraId="466B9BF2" w14:textId="77777777" w:rsidR="008D1D70" w:rsidRPr="008D1D70" w:rsidRDefault="008D1D70" w:rsidP="008D1D70">
      <w:pPr>
        <w:spacing w:before="120" w:after="0"/>
        <w:rPr>
          <w:rFonts w:ascii="Arial" w:hAnsi="Arial" w:cs="Arial"/>
          <w:bCs/>
        </w:rPr>
      </w:pPr>
      <w:r w:rsidRPr="008D1D70">
        <w:rPr>
          <w:rFonts w:ascii="Arial" w:hAnsi="Arial" w:cs="Arial"/>
          <w:bCs/>
        </w:rPr>
        <w:t xml:space="preserve">During Rel-17 IAB, full inter-donor migration of an IAB-node was discussed, but not specified. During RAN Plenary discussions, several companies expressed the intention to propose full migration as the baseline for </w:t>
      </w:r>
      <w:proofErr w:type="spellStart"/>
      <w:r w:rsidRPr="008D1D70">
        <w:rPr>
          <w:rFonts w:ascii="Arial" w:hAnsi="Arial" w:cs="Arial"/>
          <w:bCs/>
        </w:rPr>
        <w:t>mIAB</w:t>
      </w:r>
      <w:proofErr w:type="spellEnd"/>
      <w:r w:rsidRPr="008D1D70">
        <w:rPr>
          <w:rFonts w:ascii="Arial" w:hAnsi="Arial" w:cs="Arial"/>
          <w:bCs/>
        </w:rPr>
        <w:t xml:space="preserve"> mobility support. </w:t>
      </w:r>
    </w:p>
    <w:p w14:paraId="294A639D" w14:textId="65BF5824" w:rsidR="008D1D70" w:rsidRPr="008D1D70" w:rsidRDefault="008D1D70" w:rsidP="008D1D70">
      <w:pPr>
        <w:spacing w:before="120" w:after="0"/>
        <w:rPr>
          <w:rFonts w:ascii="Arial" w:hAnsi="Arial" w:cs="Arial"/>
        </w:rPr>
      </w:pPr>
      <w:r w:rsidRPr="008D1D70">
        <w:rPr>
          <w:rFonts w:ascii="Arial" w:hAnsi="Arial" w:cs="Arial"/>
        </w:rPr>
        <w:t xml:space="preserve">One prominent use case for </w:t>
      </w:r>
      <w:proofErr w:type="spellStart"/>
      <w:r w:rsidRPr="008D1D70">
        <w:rPr>
          <w:rFonts w:ascii="Arial" w:hAnsi="Arial" w:cs="Arial"/>
        </w:rPr>
        <w:t>mIAB</w:t>
      </w:r>
      <w:proofErr w:type="spellEnd"/>
      <w:r w:rsidRPr="008D1D70">
        <w:rPr>
          <w:rFonts w:ascii="Arial" w:hAnsi="Arial" w:cs="Arial"/>
        </w:rPr>
        <w:t xml:space="preserve"> is an urban scenario where </w:t>
      </w:r>
      <w:proofErr w:type="spellStart"/>
      <w:r w:rsidRPr="008D1D70">
        <w:rPr>
          <w:rFonts w:ascii="Arial" w:hAnsi="Arial" w:cs="Arial"/>
        </w:rPr>
        <w:t>mIAB</w:t>
      </w:r>
      <w:proofErr w:type="spellEnd"/>
      <w:r w:rsidRPr="008D1D70">
        <w:rPr>
          <w:rFonts w:ascii="Arial" w:hAnsi="Arial" w:cs="Arial"/>
        </w:rPr>
        <w:t xml:space="preserve">-nodes are mounted onboard vehicles. Cells in urban scenarios are typically small, where mobility implies frequent </w:t>
      </w:r>
      <w:r w:rsidRPr="008D1D70">
        <w:rPr>
          <w:rFonts w:ascii="Arial" w:hAnsi="Arial" w:cs="Arial"/>
          <w:bCs/>
        </w:rPr>
        <w:t xml:space="preserve">HOs (of the </w:t>
      </w:r>
      <w:proofErr w:type="spellStart"/>
      <w:r w:rsidRPr="008D1D70">
        <w:rPr>
          <w:rFonts w:ascii="Arial" w:hAnsi="Arial" w:cs="Arial"/>
          <w:bCs/>
        </w:rPr>
        <w:t>mIAB</w:t>
      </w:r>
      <w:proofErr w:type="spellEnd"/>
      <w:r w:rsidRPr="008D1D70">
        <w:rPr>
          <w:rFonts w:ascii="Arial" w:hAnsi="Arial" w:cs="Arial"/>
          <w:bCs/>
        </w:rPr>
        <w:t>-MT)</w:t>
      </w:r>
      <w:r w:rsidRPr="008D1D70">
        <w:rPr>
          <w:rFonts w:ascii="Arial" w:hAnsi="Arial" w:cs="Arial"/>
        </w:rPr>
        <w:t>.</w:t>
      </w:r>
      <w:r w:rsidRPr="008D1D70">
        <w:rPr>
          <w:rFonts w:ascii="Arial" w:hAnsi="Arial" w:cs="Arial"/>
          <w:bCs/>
        </w:rPr>
        <w:t xml:space="preserve"> </w:t>
      </w:r>
      <w:r w:rsidRPr="008D1D70">
        <w:rPr>
          <w:rFonts w:ascii="Arial" w:hAnsi="Arial" w:cs="Arial"/>
        </w:rPr>
        <w:t xml:space="preserve">Always applying the full migration in the form that was discussed in Rel-17 means that both the </w:t>
      </w:r>
      <w:proofErr w:type="spellStart"/>
      <w:r w:rsidRPr="008D1D70">
        <w:rPr>
          <w:rFonts w:ascii="Arial" w:hAnsi="Arial" w:cs="Arial"/>
        </w:rPr>
        <w:t>mIAB</w:t>
      </w:r>
      <w:proofErr w:type="spellEnd"/>
      <w:r w:rsidRPr="008D1D70">
        <w:rPr>
          <w:rFonts w:ascii="Arial" w:hAnsi="Arial" w:cs="Arial"/>
        </w:rPr>
        <w:t xml:space="preserve">-MT and </w:t>
      </w:r>
      <w:proofErr w:type="spellStart"/>
      <w:r w:rsidRPr="008D1D70">
        <w:rPr>
          <w:rFonts w:ascii="Arial" w:hAnsi="Arial" w:cs="Arial"/>
        </w:rPr>
        <w:t>mIAB</w:t>
      </w:r>
      <w:proofErr w:type="spellEnd"/>
      <w:r w:rsidRPr="008D1D70">
        <w:rPr>
          <w:rFonts w:ascii="Arial" w:hAnsi="Arial" w:cs="Arial"/>
        </w:rPr>
        <w:t xml:space="preserve">-DU </w:t>
      </w:r>
      <w:r w:rsidRPr="008D1D70">
        <w:rPr>
          <w:rFonts w:ascii="Arial" w:hAnsi="Arial" w:cs="Arial"/>
          <w:bCs/>
        </w:rPr>
        <w:t>HO</w:t>
      </w:r>
      <w:r w:rsidRPr="008D1D70">
        <w:rPr>
          <w:rFonts w:ascii="Arial" w:hAnsi="Arial" w:cs="Arial"/>
        </w:rPr>
        <w:t xml:space="preserve">s would have to be executed both together and therefore frequently. This would imply complex reconfigurations, with a significant impact on the connected UEs, due to the change of the serving donor CU and, likely, the CGI. </w:t>
      </w:r>
    </w:p>
    <w:p w14:paraId="35FF6827" w14:textId="77777777" w:rsidR="008D1D70" w:rsidRPr="00410D33" w:rsidRDefault="008D1D70" w:rsidP="008D1D70">
      <w:pPr>
        <w:spacing w:before="120" w:after="0"/>
        <w:rPr>
          <w:rFonts w:asciiTheme="minorHAnsi" w:hAnsiTheme="minorHAnsi" w:cstheme="minorHAnsi"/>
          <w:bCs/>
          <w:sz w:val="22"/>
          <w:szCs w:val="22"/>
        </w:rPr>
      </w:pPr>
    </w:p>
    <w:p w14:paraId="25DC4991" w14:textId="224B6C39" w:rsidR="008D1D70" w:rsidRDefault="008D1D70" w:rsidP="00660F7B">
      <w:pPr>
        <w:pStyle w:val="Observation"/>
        <w:ind w:left="1560" w:hanging="1560"/>
        <w:rPr>
          <w:color w:val="FF0000"/>
        </w:rPr>
      </w:pPr>
      <w:bookmarkStart w:id="9" w:name="_Toc115391302"/>
      <w:r>
        <w:t xml:space="preserve">Mandating that the </w:t>
      </w:r>
      <w:proofErr w:type="spellStart"/>
      <w:r>
        <w:t>mIAB</w:t>
      </w:r>
      <w:proofErr w:type="spellEnd"/>
      <w:r>
        <w:t xml:space="preserve">-DU and the served UEs are handed over every time </w:t>
      </w:r>
      <w:r w:rsidRPr="00E72C37">
        <w:t xml:space="preserve">the </w:t>
      </w:r>
      <w:proofErr w:type="spellStart"/>
      <w:r w:rsidRPr="00E72C37">
        <w:t>mIAB</w:t>
      </w:r>
      <w:proofErr w:type="spellEnd"/>
      <w:r w:rsidRPr="00E72C37">
        <w:t xml:space="preserve">-MT is handed over between </w:t>
      </w:r>
      <w:r w:rsidRPr="00F2581B">
        <w:t xml:space="preserve">donor CUs, </w:t>
      </w:r>
      <w:r>
        <w:t>would imply frequent and complex reconfigurations with a</w:t>
      </w:r>
      <w:r w:rsidRPr="00F2581B">
        <w:t xml:space="preserve"> significant</w:t>
      </w:r>
      <w:r>
        <w:t xml:space="preserve"> impact on</w:t>
      </w:r>
      <w:r w:rsidRPr="00F2581B">
        <w:t xml:space="preserve"> the connected UEs due to the change of the serving </w:t>
      </w:r>
      <w:r>
        <w:t xml:space="preserve">donor </w:t>
      </w:r>
      <w:r w:rsidRPr="00F2581B">
        <w:t>CU</w:t>
      </w:r>
      <w:r w:rsidRPr="00E72C37">
        <w:t>.</w:t>
      </w:r>
      <w:bookmarkEnd w:id="9"/>
      <w:r>
        <w:t xml:space="preserve"> </w:t>
      </w:r>
    </w:p>
    <w:p w14:paraId="0EFEF6C0" w14:textId="77777777" w:rsidR="008D1D70" w:rsidRPr="008D1D70" w:rsidRDefault="008D1D70" w:rsidP="008D1D70">
      <w:pPr>
        <w:spacing w:before="120" w:after="0"/>
        <w:rPr>
          <w:rFonts w:ascii="Arial" w:hAnsi="Arial" w:cs="Arial"/>
        </w:rPr>
      </w:pPr>
      <w:r w:rsidRPr="008D1D70">
        <w:rPr>
          <w:rFonts w:ascii="Arial" w:hAnsi="Arial" w:cs="Arial"/>
        </w:rPr>
        <w:t xml:space="preserve">Besides the inherent complexity and processing load, an additional risk of joint HO of </w:t>
      </w:r>
      <w:proofErr w:type="spellStart"/>
      <w:r w:rsidRPr="008D1D70">
        <w:rPr>
          <w:rFonts w:ascii="Arial" w:hAnsi="Arial" w:cs="Arial"/>
        </w:rPr>
        <w:t>mIAB</w:t>
      </w:r>
      <w:proofErr w:type="spellEnd"/>
      <w:r w:rsidRPr="008D1D70">
        <w:rPr>
          <w:rFonts w:ascii="Arial" w:hAnsi="Arial" w:cs="Arial"/>
        </w:rPr>
        <w:t xml:space="preserve">-MT and </w:t>
      </w:r>
      <w:proofErr w:type="spellStart"/>
      <w:r w:rsidRPr="008D1D70">
        <w:rPr>
          <w:rFonts w:ascii="Arial" w:hAnsi="Arial" w:cs="Arial"/>
        </w:rPr>
        <w:t>mIAB</w:t>
      </w:r>
      <w:proofErr w:type="spellEnd"/>
      <w:r w:rsidRPr="008D1D70">
        <w:rPr>
          <w:rFonts w:ascii="Arial" w:hAnsi="Arial" w:cs="Arial"/>
        </w:rPr>
        <w:t xml:space="preserve">-DU is that the </w:t>
      </w:r>
      <w:proofErr w:type="spellStart"/>
      <w:r w:rsidRPr="008D1D70">
        <w:rPr>
          <w:rFonts w:ascii="Arial" w:hAnsi="Arial" w:cs="Arial"/>
        </w:rPr>
        <w:t>mIAB</w:t>
      </w:r>
      <w:proofErr w:type="spellEnd"/>
      <w:r w:rsidRPr="008D1D70">
        <w:rPr>
          <w:rFonts w:ascii="Arial" w:hAnsi="Arial" w:cs="Arial"/>
        </w:rPr>
        <w:t xml:space="preserve"> may stay under one donor for just a little while causing a subsequent HO of the </w:t>
      </w:r>
      <w:proofErr w:type="spellStart"/>
      <w:r w:rsidRPr="008D1D70">
        <w:rPr>
          <w:rFonts w:ascii="Arial" w:hAnsi="Arial" w:cs="Arial"/>
        </w:rPr>
        <w:t>mIAB</w:t>
      </w:r>
      <w:proofErr w:type="spellEnd"/>
      <w:r w:rsidRPr="008D1D70">
        <w:rPr>
          <w:rFonts w:ascii="Arial" w:hAnsi="Arial" w:cs="Arial"/>
        </w:rPr>
        <w:t xml:space="preserve">-MT before the completion of the </w:t>
      </w:r>
      <w:proofErr w:type="spellStart"/>
      <w:r w:rsidRPr="008D1D70">
        <w:rPr>
          <w:rFonts w:ascii="Arial" w:hAnsi="Arial" w:cs="Arial"/>
        </w:rPr>
        <w:t>mIAB</w:t>
      </w:r>
      <w:proofErr w:type="spellEnd"/>
      <w:r w:rsidRPr="008D1D70">
        <w:rPr>
          <w:rFonts w:ascii="Arial" w:hAnsi="Arial" w:cs="Arial"/>
        </w:rPr>
        <w:t xml:space="preserve">-DU HO. This is a likely scenario in a small cell environment, typical for urban scenarios. If this happens, two alternatives are possible. Either the </w:t>
      </w:r>
      <w:proofErr w:type="spellStart"/>
      <w:r w:rsidRPr="008D1D70">
        <w:rPr>
          <w:rFonts w:ascii="Arial" w:hAnsi="Arial" w:cs="Arial"/>
        </w:rPr>
        <w:t>mIAB</w:t>
      </w:r>
      <w:proofErr w:type="spellEnd"/>
      <w:r w:rsidRPr="008D1D70">
        <w:rPr>
          <w:rFonts w:ascii="Arial" w:hAnsi="Arial" w:cs="Arial"/>
        </w:rPr>
        <w:t xml:space="preserve">-MT HO is delayed until completion of the </w:t>
      </w:r>
      <w:proofErr w:type="spellStart"/>
      <w:r w:rsidRPr="008D1D70">
        <w:rPr>
          <w:rFonts w:ascii="Arial" w:hAnsi="Arial" w:cs="Arial"/>
        </w:rPr>
        <w:t>mIAB</w:t>
      </w:r>
      <w:proofErr w:type="spellEnd"/>
      <w:r w:rsidRPr="008D1D70">
        <w:rPr>
          <w:rFonts w:ascii="Arial" w:hAnsi="Arial" w:cs="Arial"/>
        </w:rPr>
        <w:t xml:space="preserve">-DU HO, with the risk of increased </w:t>
      </w:r>
      <w:proofErr w:type="spellStart"/>
      <w:r w:rsidRPr="008D1D70">
        <w:rPr>
          <w:rFonts w:ascii="Arial" w:hAnsi="Arial" w:cs="Arial"/>
        </w:rPr>
        <w:t>mIAB</w:t>
      </w:r>
      <w:proofErr w:type="spellEnd"/>
      <w:r w:rsidRPr="008D1D70">
        <w:rPr>
          <w:rFonts w:ascii="Arial" w:hAnsi="Arial" w:cs="Arial"/>
        </w:rPr>
        <w:t xml:space="preserve">-MT HO failure due to slow HO execution, or this (subsequent) </w:t>
      </w:r>
      <w:proofErr w:type="spellStart"/>
      <w:r w:rsidRPr="008D1D70">
        <w:rPr>
          <w:rFonts w:ascii="Arial" w:hAnsi="Arial" w:cs="Arial"/>
        </w:rPr>
        <w:t>mIAB</w:t>
      </w:r>
      <w:proofErr w:type="spellEnd"/>
      <w:r w:rsidRPr="008D1D70">
        <w:rPr>
          <w:rFonts w:ascii="Arial" w:hAnsi="Arial" w:cs="Arial"/>
        </w:rPr>
        <w:t xml:space="preserve">-MT HO is executed before the </w:t>
      </w:r>
      <w:proofErr w:type="spellStart"/>
      <w:r w:rsidRPr="008D1D70">
        <w:rPr>
          <w:rFonts w:ascii="Arial" w:hAnsi="Arial" w:cs="Arial"/>
        </w:rPr>
        <w:t>mIAB</w:t>
      </w:r>
      <w:proofErr w:type="spellEnd"/>
      <w:r w:rsidRPr="008D1D70">
        <w:rPr>
          <w:rFonts w:ascii="Arial" w:hAnsi="Arial" w:cs="Arial"/>
        </w:rPr>
        <w:t xml:space="preserve">-DU HO is completed, increasing the risk of errors due to unsynchronized state of </w:t>
      </w:r>
      <w:proofErr w:type="spellStart"/>
      <w:r w:rsidRPr="008D1D70">
        <w:rPr>
          <w:rFonts w:ascii="Arial" w:hAnsi="Arial" w:cs="Arial"/>
        </w:rPr>
        <w:t>mIAB</w:t>
      </w:r>
      <w:proofErr w:type="spellEnd"/>
      <w:r w:rsidRPr="008D1D70">
        <w:rPr>
          <w:rFonts w:ascii="Arial" w:hAnsi="Arial" w:cs="Arial"/>
        </w:rPr>
        <w:t xml:space="preserve">-DU’s F1 connection, neither of which is good. </w:t>
      </w:r>
    </w:p>
    <w:p w14:paraId="5D625A58" w14:textId="77777777" w:rsidR="008D1D70" w:rsidRPr="008D1D70" w:rsidRDefault="008D1D70" w:rsidP="008D1D70">
      <w:pPr>
        <w:spacing w:before="120" w:after="0"/>
        <w:rPr>
          <w:rFonts w:ascii="Arial" w:hAnsi="Arial" w:cs="Arial"/>
        </w:rPr>
      </w:pPr>
    </w:p>
    <w:p w14:paraId="664CEAA1" w14:textId="2130BA9C" w:rsidR="008D1D70" w:rsidRDefault="008D1D70" w:rsidP="00637D9E">
      <w:pPr>
        <w:pStyle w:val="Observation"/>
        <w:ind w:left="1701" w:hanging="1701"/>
      </w:pPr>
      <w:bookmarkStart w:id="10" w:name="_Toc115391303"/>
      <w:r>
        <w:t xml:space="preserve">Mandating that the </w:t>
      </w:r>
      <w:proofErr w:type="spellStart"/>
      <w:r>
        <w:t>mIAB</w:t>
      </w:r>
      <w:proofErr w:type="spellEnd"/>
      <w:r>
        <w:t xml:space="preserve">-DU and the served UEs are handed over every time </w:t>
      </w:r>
      <w:r w:rsidRPr="00E72C37">
        <w:t xml:space="preserve">the </w:t>
      </w:r>
      <w:proofErr w:type="spellStart"/>
      <w:r w:rsidRPr="00E72C37">
        <w:t>mIAB</w:t>
      </w:r>
      <w:proofErr w:type="spellEnd"/>
      <w:r w:rsidRPr="00E72C37">
        <w:t xml:space="preserve">-MT is handed over between </w:t>
      </w:r>
      <w:r w:rsidRPr="00F2581B">
        <w:t>donor CUs</w:t>
      </w:r>
      <w:r>
        <w:t xml:space="preserve"> may lead to slowing down of </w:t>
      </w:r>
      <w:proofErr w:type="spellStart"/>
      <w:r>
        <w:t>mIAB</w:t>
      </w:r>
      <w:proofErr w:type="spellEnd"/>
      <w:r>
        <w:t xml:space="preserve">-MT handover (and a possible failure), or to an unsynchronized </w:t>
      </w:r>
      <w:r w:rsidRPr="00AF4DB4">
        <w:t xml:space="preserve">state of </w:t>
      </w:r>
      <w:proofErr w:type="spellStart"/>
      <w:r w:rsidRPr="00AF4DB4">
        <w:t>mIAB</w:t>
      </w:r>
      <w:proofErr w:type="spellEnd"/>
      <w:r w:rsidRPr="00AF4DB4">
        <w:t>-DU’s F1 connection.</w:t>
      </w:r>
      <w:bookmarkEnd w:id="10"/>
    </w:p>
    <w:p w14:paraId="2FD21C40" w14:textId="77777777" w:rsidR="008D1D70" w:rsidRPr="008D1D70" w:rsidRDefault="008D1D70" w:rsidP="008D1D70">
      <w:pPr>
        <w:spacing w:before="120" w:after="0"/>
        <w:rPr>
          <w:rFonts w:ascii="Arial" w:hAnsi="Arial" w:cs="Arial"/>
        </w:rPr>
      </w:pPr>
      <w:r w:rsidRPr="008D1D70">
        <w:rPr>
          <w:rFonts w:ascii="Arial" w:hAnsi="Arial" w:cs="Arial"/>
        </w:rPr>
        <w:t xml:space="preserve">Finally, joint </w:t>
      </w:r>
      <w:proofErr w:type="spellStart"/>
      <w:r w:rsidRPr="008D1D70">
        <w:rPr>
          <w:rFonts w:ascii="Arial" w:hAnsi="Arial" w:cs="Arial"/>
        </w:rPr>
        <w:t>mIAB</w:t>
      </w:r>
      <w:proofErr w:type="spellEnd"/>
      <w:r w:rsidRPr="008D1D70">
        <w:rPr>
          <w:rFonts w:ascii="Arial" w:hAnsi="Arial" w:cs="Arial"/>
        </w:rPr>
        <w:t xml:space="preserve">-MT and </w:t>
      </w:r>
      <w:proofErr w:type="spellStart"/>
      <w:r w:rsidRPr="008D1D70">
        <w:rPr>
          <w:rFonts w:ascii="Arial" w:hAnsi="Arial" w:cs="Arial"/>
        </w:rPr>
        <w:t>mIAB</w:t>
      </w:r>
      <w:proofErr w:type="spellEnd"/>
      <w:r w:rsidRPr="008D1D70">
        <w:rPr>
          <w:rFonts w:ascii="Arial" w:hAnsi="Arial" w:cs="Arial"/>
        </w:rPr>
        <w:t xml:space="preserve">-DU HO may fail in case the </w:t>
      </w:r>
      <w:proofErr w:type="spellStart"/>
      <w:r w:rsidRPr="008D1D70">
        <w:rPr>
          <w:rFonts w:ascii="Arial" w:hAnsi="Arial" w:cs="Arial"/>
        </w:rPr>
        <w:t>mIAB</w:t>
      </w:r>
      <w:proofErr w:type="spellEnd"/>
      <w:r w:rsidRPr="008D1D70">
        <w:rPr>
          <w:rFonts w:ascii="Arial" w:hAnsi="Arial" w:cs="Arial"/>
        </w:rPr>
        <w:t xml:space="preserve">-MT is successfully handed over, but it turns out that the target donor CU cannot accept the </w:t>
      </w:r>
      <w:proofErr w:type="spellStart"/>
      <w:r w:rsidRPr="008D1D70">
        <w:rPr>
          <w:rFonts w:ascii="Arial" w:hAnsi="Arial" w:cs="Arial"/>
        </w:rPr>
        <w:t>mIAB</w:t>
      </w:r>
      <w:proofErr w:type="spellEnd"/>
      <w:r w:rsidRPr="008D1D70">
        <w:rPr>
          <w:rFonts w:ascii="Arial" w:hAnsi="Arial" w:cs="Arial"/>
        </w:rPr>
        <w:t xml:space="preserve">-DU (e.g., for reasons of traffic load or service latency). </w:t>
      </w:r>
    </w:p>
    <w:p w14:paraId="77924BCF" w14:textId="77777777" w:rsidR="008D1D70" w:rsidRDefault="008D1D70" w:rsidP="008D1D70">
      <w:pPr>
        <w:spacing w:before="120" w:after="0"/>
        <w:rPr>
          <w:rFonts w:asciiTheme="minorHAnsi" w:hAnsiTheme="minorHAnsi" w:cstheme="minorHAnsi"/>
          <w:sz w:val="22"/>
          <w:szCs w:val="22"/>
        </w:rPr>
      </w:pPr>
    </w:p>
    <w:p w14:paraId="50D5E440" w14:textId="7D93FA20" w:rsidR="008D1D70" w:rsidRPr="00467692" w:rsidRDefault="008D1D70" w:rsidP="00467692">
      <w:pPr>
        <w:pStyle w:val="Observation"/>
        <w:ind w:left="1701" w:hanging="1701"/>
      </w:pPr>
      <w:bookmarkStart w:id="11" w:name="_Toc115391304"/>
      <w:r>
        <w:t>A j</w:t>
      </w:r>
      <w:r w:rsidRPr="00D30553">
        <w:t xml:space="preserve">oint </w:t>
      </w:r>
      <w:proofErr w:type="spellStart"/>
      <w:r w:rsidRPr="00D30553">
        <w:t>mIAB</w:t>
      </w:r>
      <w:proofErr w:type="spellEnd"/>
      <w:r w:rsidRPr="00D30553">
        <w:t xml:space="preserve">-MT and </w:t>
      </w:r>
      <w:proofErr w:type="spellStart"/>
      <w:r w:rsidRPr="00D30553">
        <w:t>mIAB</w:t>
      </w:r>
      <w:proofErr w:type="spellEnd"/>
      <w:r w:rsidRPr="00D30553">
        <w:t xml:space="preserve">-DU HO may fail in case the </w:t>
      </w:r>
      <w:proofErr w:type="spellStart"/>
      <w:r w:rsidRPr="00D30553">
        <w:t>mIAB</w:t>
      </w:r>
      <w:proofErr w:type="spellEnd"/>
      <w:r w:rsidRPr="00D30553">
        <w:t xml:space="preserve">-MT is successfully handed over, but it turns out that the target donor CU cannot accept the </w:t>
      </w:r>
      <w:proofErr w:type="spellStart"/>
      <w:r w:rsidRPr="00D30553">
        <w:t>mIAB</w:t>
      </w:r>
      <w:proofErr w:type="spellEnd"/>
      <w:r w:rsidRPr="00D30553">
        <w:t>-DU (e.g., for reasons of traffic load or service latency).</w:t>
      </w:r>
      <w:bookmarkEnd w:id="11"/>
      <w:r w:rsidRPr="00D30553">
        <w:t xml:space="preserve"> </w:t>
      </w:r>
    </w:p>
    <w:p w14:paraId="2AC91E5C" w14:textId="782CA507" w:rsidR="004419FB" w:rsidRDefault="004419FB" w:rsidP="004419FB">
      <w:pPr>
        <w:rPr>
          <w:rFonts w:ascii="Arial" w:hAnsi="Arial" w:cs="Arial"/>
        </w:rPr>
      </w:pPr>
      <w:r w:rsidRPr="004419FB">
        <w:rPr>
          <w:rFonts w:ascii="Arial" w:hAnsi="Arial" w:cs="Arial"/>
        </w:rPr>
        <w:t xml:space="preserve">Due to the above, we think that </w:t>
      </w:r>
      <w:r w:rsidR="00674DC9">
        <w:rPr>
          <w:rFonts w:ascii="Arial" w:hAnsi="Arial" w:cs="Arial"/>
        </w:rPr>
        <w:t>a solution that</w:t>
      </w:r>
      <w:r w:rsidRPr="004419FB">
        <w:rPr>
          <w:rFonts w:ascii="Arial" w:hAnsi="Arial" w:cs="Arial"/>
        </w:rPr>
        <w:t xml:space="preserve"> support the </w:t>
      </w:r>
      <w:r w:rsidRPr="004419FB">
        <w:rPr>
          <w:rFonts w:ascii="Arial" w:hAnsi="Arial" w:cs="Arial"/>
          <w:b/>
          <w:bCs/>
        </w:rPr>
        <w:t xml:space="preserve">decoupling the HOs of an </w:t>
      </w:r>
      <w:proofErr w:type="spellStart"/>
      <w:r w:rsidRPr="004419FB">
        <w:rPr>
          <w:rFonts w:ascii="Arial" w:hAnsi="Arial" w:cs="Arial"/>
          <w:b/>
          <w:bCs/>
        </w:rPr>
        <w:t>mIAB</w:t>
      </w:r>
      <w:proofErr w:type="spellEnd"/>
      <w:r w:rsidRPr="004419FB">
        <w:rPr>
          <w:rFonts w:ascii="Arial" w:hAnsi="Arial" w:cs="Arial"/>
          <w:b/>
          <w:bCs/>
        </w:rPr>
        <w:t xml:space="preserve">-DU from the HOs of the co-located </w:t>
      </w:r>
      <w:proofErr w:type="spellStart"/>
      <w:r w:rsidRPr="004419FB">
        <w:rPr>
          <w:rFonts w:ascii="Arial" w:hAnsi="Arial" w:cs="Arial"/>
          <w:b/>
          <w:bCs/>
        </w:rPr>
        <w:t>mIAB</w:t>
      </w:r>
      <w:proofErr w:type="spellEnd"/>
      <w:r w:rsidRPr="004419FB">
        <w:rPr>
          <w:rFonts w:ascii="Arial" w:hAnsi="Arial" w:cs="Arial"/>
          <w:b/>
          <w:bCs/>
        </w:rPr>
        <w:t>-MT</w:t>
      </w:r>
      <w:r w:rsidR="00A17104" w:rsidRPr="00A17104">
        <w:rPr>
          <w:rFonts w:ascii="Arial" w:hAnsi="Arial" w:cs="Arial"/>
        </w:rPr>
        <w:t xml:space="preserve"> would</w:t>
      </w:r>
      <w:r w:rsidR="00A17104">
        <w:rPr>
          <w:rFonts w:ascii="Arial" w:hAnsi="Arial" w:cs="Arial"/>
        </w:rPr>
        <w:t xml:space="preserve"> bring huge benefits to mitigate the mentioned issues</w:t>
      </w:r>
      <w:r w:rsidRPr="004419FB">
        <w:rPr>
          <w:rFonts w:ascii="Arial" w:hAnsi="Arial" w:cs="Arial"/>
        </w:rPr>
        <w:t xml:space="preserve">. </w:t>
      </w:r>
      <w:r w:rsidR="00A17104">
        <w:rPr>
          <w:rFonts w:ascii="Arial" w:hAnsi="Arial" w:cs="Arial"/>
        </w:rPr>
        <w:t>Here, t</w:t>
      </w:r>
      <w:r w:rsidRPr="004419FB">
        <w:rPr>
          <w:rFonts w:ascii="Arial" w:hAnsi="Arial" w:cs="Arial"/>
        </w:rPr>
        <w:t xml:space="preserve">he </w:t>
      </w:r>
      <w:r w:rsidRPr="004419FB">
        <w:rPr>
          <w:rFonts w:ascii="Arial" w:hAnsi="Arial" w:cs="Arial"/>
          <w:i/>
          <w:iCs/>
        </w:rPr>
        <w:t>decoupling</w:t>
      </w:r>
      <w:r w:rsidRPr="004419FB">
        <w:rPr>
          <w:rFonts w:ascii="Arial" w:hAnsi="Arial" w:cs="Arial"/>
        </w:rPr>
        <w:t xml:space="preserve"> means that it should be possible to execute </w:t>
      </w:r>
      <w:proofErr w:type="spellStart"/>
      <w:r w:rsidRPr="004419FB">
        <w:rPr>
          <w:rFonts w:ascii="Arial" w:hAnsi="Arial" w:cs="Arial"/>
        </w:rPr>
        <w:t>mIAB</w:t>
      </w:r>
      <w:proofErr w:type="spellEnd"/>
      <w:r w:rsidRPr="004419FB">
        <w:rPr>
          <w:rFonts w:ascii="Arial" w:hAnsi="Arial" w:cs="Arial"/>
        </w:rPr>
        <w:t xml:space="preserve">-MT and </w:t>
      </w:r>
      <w:proofErr w:type="spellStart"/>
      <w:r w:rsidRPr="004419FB">
        <w:rPr>
          <w:rFonts w:ascii="Arial" w:hAnsi="Arial" w:cs="Arial"/>
        </w:rPr>
        <w:t>mIAB</w:t>
      </w:r>
      <w:proofErr w:type="spellEnd"/>
      <w:r w:rsidRPr="004419FB">
        <w:rPr>
          <w:rFonts w:ascii="Arial" w:hAnsi="Arial" w:cs="Arial"/>
        </w:rPr>
        <w:t xml:space="preserve">-DU HOs independently of each other, meaning that, at any time, the </w:t>
      </w:r>
      <w:proofErr w:type="spellStart"/>
      <w:r w:rsidRPr="004419FB">
        <w:rPr>
          <w:rFonts w:ascii="Arial" w:hAnsi="Arial" w:cs="Arial"/>
        </w:rPr>
        <w:t>mIAB</w:t>
      </w:r>
      <w:proofErr w:type="spellEnd"/>
      <w:r w:rsidRPr="004419FB">
        <w:rPr>
          <w:rFonts w:ascii="Arial" w:hAnsi="Arial" w:cs="Arial"/>
        </w:rPr>
        <w:t xml:space="preserve">-MT could be served by a donor CU different than the donor CU serving the </w:t>
      </w:r>
      <w:proofErr w:type="spellStart"/>
      <w:r w:rsidRPr="004419FB">
        <w:rPr>
          <w:rFonts w:ascii="Arial" w:hAnsi="Arial" w:cs="Arial"/>
        </w:rPr>
        <w:t>mIAB</w:t>
      </w:r>
      <w:proofErr w:type="spellEnd"/>
      <w:r w:rsidRPr="004419FB">
        <w:rPr>
          <w:rFonts w:ascii="Arial" w:hAnsi="Arial" w:cs="Arial"/>
        </w:rPr>
        <w:t xml:space="preserve">-DU. </w:t>
      </w:r>
    </w:p>
    <w:p w14:paraId="045B6614" w14:textId="74EDEDBD" w:rsidR="00A17104" w:rsidRDefault="00A17104" w:rsidP="00637D9E">
      <w:pPr>
        <w:pStyle w:val="Observation"/>
        <w:ind w:left="1701" w:hanging="1701"/>
      </w:pPr>
      <w:bookmarkStart w:id="12" w:name="_Toc115391305"/>
      <w:r>
        <w:t xml:space="preserve">Decoupling </w:t>
      </w:r>
      <w:r w:rsidRPr="00A17104">
        <w:t xml:space="preserve">the HOs of an </w:t>
      </w:r>
      <w:proofErr w:type="spellStart"/>
      <w:r w:rsidRPr="00A17104">
        <w:t>mIAB</w:t>
      </w:r>
      <w:proofErr w:type="spellEnd"/>
      <w:r w:rsidRPr="00A17104">
        <w:t xml:space="preserve">-DU from the HOs of the co-located </w:t>
      </w:r>
      <w:proofErr w:type="spellStart"/>
      <w:r w:rsidRPr="00A17104">
        <w:t>mIAB</w:t>
      </w:r>
      <w:proofErr w:type="spellEnd"/>
      <w:r w:rsidRPr="00A17104">
        <w:t>-MT would bring huge benefits to mitigate</w:t>
      </w:r>
      <w:r>
        <w:t xml:space="preserve"> connectivity interruptions</w:t>
      </w:r>
      <w:r w:rsidR="00637D9E">
        <w:t xml:space="preserve"> and</w:t>
      </w:r>
      <w:r>
        <w:t xml:space="preserve"> handover failure</w:t>
      </w:r>
      <w:r w:rsidR="00637D9E">
        <w:t>.</w:t>
      </w:r>
      <w:bookmarkEnd w:id="12"/>
      <w:r>
        <w:t xml:space="preserve"> </w:t>
      </w:r>
    </w:p>
    <w:p w14:paraId="192C63B1" w14:textId="30B53D5D" w:rsidR="005A7B75" w:rsidRPr="00A17104" w:rsidRDefault="00891381" w:rsidP="00637D9E">
      <w:pPr>
        <w:pStyle w:val="Observation"/>
        <w:ind w:left="1701" w:hanging="1701"/>
        <w:rPr>
          <w:rFonts w:cs="Arial"/>
        </w:rPr>
      </w:pPr>
      <w:bookmarkStart w:id="13" w:name="_Toc115391306"/>
      <w:r>
        <w:t>I</w:t>
      </w:r>
      <w:r w:rsidR="00EF1618">
        <w:t xml:space="preserve">t could be advantageous to offer the </w:t>
      </w:r>
      <w:r>
        <w:t xml:space="preserve">hosting </w:t>
      </w:r>
      <w:r w:rsidR="00EF1618">
        <w:t xml:space="preserve">of </w:t>
      </w:r>
      <w:r w:rsidR="00613326">
        <w:t xml:space="preserve">a </w:t>
      </w:r>
      <w:r w:rsidR="00EF1618">
        <w:t>mobile IAB</w:t>
      </w:r>
      <w:r w:rsidR="00613326">
        <w:t>-</w:t>
      </w:r>
      <w:r>
        <w:t>DU</w:t>
      </w:r>
      <w:r w:rsidR="00EF1618">
        <w:t xml:space="preserve"> to a dedicated CU that would</w:t>
      </w:r>
      <w:r w:rsidR="00585B5B">
        <w:t xml:space="preserve"> always</w:t>
      </w:r>
      <w:r w:rsidR="00EF1618">
        <w:t xml:space="preserve"> </w:t>
      </w:r>
      <w:r w:rsidR="002176F5">
        <w:t>anchor/terminate the F1 connection</w:t>
      </w:r>
      <w:r w:rsidR="00EF1618">
        <w:t>.</w:t>
      </w:r>
      <w:bookmarkEnd w:id="13"/>
    </w:p>
    <w:p w14:paraId="187E2740" w14:textId="1335485C" w:rsidR="00C02250" w:rsidRPr="005404D2" w:rsidRDefault="00891381" w:rsidP="005404D2">
      <w:pPr>
        <w:pStyle w:val="BodyText"/>
      </w:pPr>
      <w:r>
        <w:t>However, since s</w:t>
      </w:r>
      <w:r w:rsidR="00350DC2" w:rsidRPr="00D12C9F">
        <w:t xml:space="preserve">uch a discussion rather falls into the domain of RAN3, </w:t>
      </w:r>
      <w:proofErr w:type="gramStart"/>
      <w:r w:rsidR="0031105D">
        <w:t>in order for</w:t>
      </w:r>
      <w:proofErr w:type="gramEnd"/>
      <w:r w:rsidR="0031105D">
        <w:t xml:space="preserve"> RAN2 to make progresses </w:t>
      </w:r>
      <w:r w:rsidR="00350DC2" w:rsidRPr="00D12C9F">
        <w:t>we should</w:t>
      </w:r>
      <w:r w:rsidR="00350DC2">
        <w:t xml:space="preserve"> </w:t>
      </w:r>
      <w:r w:rsidR="0031105D">
        <w:t>first</w:t>
      </w:r>
      <w:r w:rsidR="00350DC2" w:rsidRPr="00D12C9F">
        <w:t xml:space="preserve"> wait for RAN3 to </w:t>
      </w:r>
      <w:r w:rsidR="0031105D">
        <w:t>agree</w:t>
      </w:r>
      <w:r w:rsidR="0031105D" w:rsidRPr="00D12C9F">
        <w:t xml:space="preserve"> </w:t>
      </w:r>
      <w:r w:rsidR="00350DC2" w:rsidRPr="00D12C9F">
        <w:t xml:space="preserve">on architecture/migration </w:t>
      </w:r>
      <w:r w:rsidR="0031105D">
        <w:t>features</w:t>
      </w:r>
      <w:r w:rsidR="0031105D" w:rsidRPr="00D12C9F">
        <w:t xml:space="preserve"> </w:t>
      </w:r>
      <w:r w:rsidR="00350DC2" w:rsidRPr="00D12C9F">
        <w:t>before we discuss further migration procedures in RAN2</w:t>
      </w:r>
      <w:r w:rsidR="00350DC2" w:rsidRPr="0031105D">
        <w:t>.</w:t>
      </w:r>
      <w:r w:rsidR="0031105D" w:rsidRPr="0031105D">
        <w:t xml:space="preserve"> Thus, we propose:</w:t>
      </w:r>
    </w:p>
    <w:p w14:paraId="5176746C" w14:textId="042B6921" w:rsidR="00D77777" w:rsidRPr="00A04F49" w:rsidRDefault="005404D2" w:rsidP="00B627E9">
      <w:pPr>
        <w:pStyle w:val="Proposal"/>
        <w:jc w:val="left"/>
      </w:pPr>
      <w:bookmarkStart w:id="14" w:name="_Toc115391313"/>
      <w:r>
        <w:t>RAN2 to w</w:t>
      </w:r>
      <w:r w:rsidR="00363E02">
        <w:t>ait for RAN3 to progress on architecture/migration updates</w:t>
      </w:r>
      <w:r w:rsidR="00B61CFF" w:rsidDel="00350DC2">
        <w:t>.</w:t>
      </w:r>
      <w:bookmarkEnd w:id="14"/>
    </w:p>
    <w:p w14:paraId="1352AD04" w14:textId="77777777" w:rsidR="00D77777" w:rsidRPr="00EE424A" w:rsidRDefault="00D77777" w:rsidP="00EE424A"/>
    <w:p w14:paraId="20D74898" w14:textId="7C799755" w:rsidR="00C01F33" w:rsidRPr="00CE0424" w:rsidRDefault="00F14DA2"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86AD7B8" w14:textId="77777777" w:rsidR="00BD5573"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15391300" w:history="1">
        <w:r w:rsidR="00BD5573" w:rsidRPr="00C34E47">
          <w:rPr>
            <w:rStyle w:val="Hyperlink"/>
            <w:noProof/>
          </w:rPr>
          <w:t>Observation 1</w:t>
        </w:r>
        <w:r w:rsidR="00BD5573">
          <w:rPr>
            <w:rFonts w:asciiTheme="minorHAnsi" w:eastAsiaTheme="minorEastAsia" w:hAnsiTheme="minorHAnsi" w:cstheme="minorBidi"/>
            <w:b w:val="0"/>
            <w:noProof/>
            <w:sz w:val="24"/>
            <w:szCs w:val="24"/>
            <w:lang w:val="en-FI" w:eastAsia="en-GB"/>
          </w:rPr>
          <w:tab/>
        </w:r>
        <w:r w:rsidR="00BD5573" w:rsidRPr="00C34E47">
          <w:rPr>
            <w:rStyle w:val="Hyperlink"/>
            <w:noProof/>
          </w:rPr>
          <w:t>Need of PCI collision avoidance may be needed only for inter-CU scenario.</w:t>
        </w:r>
      </w:hyperlink>
    </w:p>
    <w:p w14:paraId="15E29420" w14:textId="77777777" w:rsidR="00BD5573" w:rsidRDefault="00BD55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301" w:history="1">
        <w:r w:rsidRPr="00C34E47">
          <w:rPr>
            <w:rStyle w:val="Hyperlink"/>
            <w:noProof/>
          </w:rPr>
          <w:t>Observation 2</w:t>
        </w:r>
        <w:r>
          <w:rPr>
            <w:rFonts w:asciiTheme="minorHAnsi" w:eastAsiaTheme="minorEastAsia" w:hAnsiTheme="minorHAnsi" w:cstheme="minorBidi"/>
            <w:b w:val="0"/>
            <w:noProof/>
            <w:sz w:val="24"/>
            <w:szCs w:val="24"/>
            <w:lang w:val="en-FI" w:eastAsia="en-GB"/>
          </w:rPr>
          <w:tab/>
        </w:r>
        <w:r w:rsidRPr="00C34E47">
          <w:rPr>
            <w:rStyle w:val="Hyperlink"/>
            <w:noProof/>
          </w:rPr>
          <w:t>If any PCI collision happens when mobile IAB moves to new CU, this can be resolved as part of full migration procedure i.e., no need to handle the PCI collision independently.</w:t>
        </w:r>
      </w:hyperlink>
    </w:p>
    <w:p w14:paraId="305940C7" w14:textId="77777777" w:rsidR="00BD5573" w:rsidRDefault="00BD55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302" w:history="1">
        <w:r w:rsidRPr="00C34E47">
          <w:rPr>
            <w:rStyle w:val="Hyperlink"/>
            <w:noProof/>
          </w:rPr>
          <w:t>Observation 3</w:t>
        </w:r>
        <w:r>
          <w:rPr>
            <w:rFonts w:asciiTheme="minorHAnsi" w:eastAsiaTheme="minorEastAsia" w:hAnsiTheme="minorHAnsi" w:cstheme="minorBidi"/>
            <w:b w:val="0"/>
            <w:noProof/>
            <w:sz w:val="24"/>
            <w:szCs w:val="24"/>
            <w:lang w:val="en-FI" w:eastAsia="en-GB"/>
          </w:rPr>
          <w:tab/>
        </w:r>
        <w:r w:rsidRPr="00C34E47">
          <w:rPr>
            <w:rStyle w:val="Hyperlink"/>
            <w:noProof/>
          </w:rPr>
          <w:t>Mandating that the mIAB-DU and the served UEs are handed over every time the mIAB-MT is handed over between donor CUs, would imply frequent and complex reconfigurations with a significant impact on the connected UEs due to the change of the serving donor CU.</w:t>
        </w:r>
      </w:hyperlink>
    </w:p>
    <w:p w14:paraId="6B16F220" w14:textId="77777777" w:rsidR="00BD5573" w:rsidRDefault="00BD55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303" w:history="1">
        <w:r w:rsidRPr="00C34E47">
          <w:rPr>
            <w:rStyle w:val="Hyperlink"/>
            <w:noProof/>
          </w:rPr>
          <w:t>Observation 4</w:t>
        </w:r>
        <w:r>
          <w:rPr>
            <w:rFonts w:asciiTheme="minorHAnsi" w:eastAsiaTheme="minorEastAsia" w:hAnsiTheme="minorHAnsi" w:cstheme="minorBidi"/>
            <w:b w:val="0"/>
            <w:noProof/>
            <w:sz w:val="24"/>
            <w:szCs w:val="24"/>
            <w:lang w:val="en-FI" w:eastAsia="en-GB"/>
          </w:rPr>
          <w:tab/>
        </w:r>
        <w:r w:rsidRPr="00C34E47">
          <w:rPr>
            <w:rStyle w:val="Hyperlink"/>
            <w:noProof/>
          </w:rPr>
          <w:t>Mandating that the mIAB-DU and the served UEs are handed over every time the mIAB-MT is handed over between donor CUs may lead to slowing down of mIAB-MT handover (and a possible failure), or to an unsynchronized state of mIAB-DU’s F1 connection.</w:t>
        </w:r>
      </w:hyperlink>
    </w:p>
    <w:p w14:paraId="6A539BAD" w14:textId="77777777" w:rsidR="00BD5573" w:rsidRDefault="00BD55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304" w:history="1">
        <w:r w:rsidRPr="00C34E47">
          <w:rPr>
            <w:rStyle w:val="Hyperlink"/>
            <w:noProof/>
          </w:rPr>
          <w:t>Observation 5</w:t>
        </w:r>
        <w:r>
          <w:rPr>
            <w:rFonts w:asciiTheme="minorHAnsi" w:eastAsiaTheme="minorEastAsia" w:hAnsiTheme="minorHAnsi" w:cstheme="minorBidi"/>
            <w:b w:val="0"/>
            <w:noProof/>
            <w:sz w:val="24"/>
            <w:szCs w:val="24"/>
            <w:lang w:val="en-FI" w:eastAsia="en-GB"/>
          </w:rPr>
          <w:tab/>
        </w:r>
        <w:r w:rsidRPr="00C34E47">
          <w:rPr>
            <w:rStyle w:val="Hyperlink"/>
            <w:noProof/>
          </w:rPr>
          <w:t>A joint mIAB-MT and mIAB-DU HO may fail in case the mIAB-MT is successfully handed over, but it turns out that the target donor CU cannot accept the mIAB-DU (e.g., for reasons of traffic load or service latency).</w:t>
        </w:r>
      </w:hyperlink>
    </w:p>
    <w:p w14:paraId="248824F9" w14:textId="77777777" w:rsidR="00BD5573" w:rsidRDefault="00BD55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305" w:history="1">
        <w:r w:rsidRPr="00C34E47">
          <w:rPr>
            <w:rStyle w:val="Hyperlink"/>
            <w:noProof/>
          </w:rPr>
          <w:t>Observation 6</w:t>
        </w:r>
        <w:r>
          <w:rPr>
            <w:rFonts w:asciiTheme="minorHAnsi" w:eastAsiaTheme="minorEastAsia" w:hAnsiTheme="minorHAnsi" w:cstheme="minorBidi"/>
            <w:b w:val="0"/>
            <w:noProof/>
            <w:sz w:val="24"/>
            <w:szCs w:val="24"/>
            <w:lang w:val="en-FI" w:eastAsia="en-GB"/>
          </w:rPr>
          <w:tab/>
        </w:r>
        <w:r w:rsidRPr="00C34E47">
          <w:rPr>
            <w:rStyle w:val="Hyperlink"/>
            <w:noProof/>
          </w:rPr>
          <w:t>Decoupling the HOs of an mIAB-DU from the HOs of the co-located mIAB-MT would bring huge benefits to mitigate connectivity interruptions and handover failure.</w:t>
        </w:r>
      </w:hyperlink>
    </w:p>
    <w:p w14:paraId="15FF383B" w14:textId="77777777" w:rsidR="00BD5573" w:rsidRDefault="00BD55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306" w:history="1">
        <w:r w:rsidRPr="00C34E47">
          <w:rPr>
            <w:rStyle w:val="Hyperlink"/>
            <w:rFonts w:cs="Arial"/>
            <w:noProof/>
          </w:rPr>
          <w:t>Observation 7</w:t>
        </w:r>
        <w:r>
          <w:rPr>
            <w:rFonts w:asciiTheme="minorHAnsi" w:eastAsiaTheme="minorEastAsia" w:hAnsiTheme="minorHAnsi" w:cstheme="minorBidi"/>
            <w:b w:val="0"/>
            <w:noProof/>
            <w:sz w:val="24"/>
            <w:szCs w:val="24"/>
            <w:lang w:val="en-FI" w:eastAsia="en-GB"/>
          </w:rPr>
          <w:tab/>
        </w:r>
        <w:r w:rsidRPr="00C34E47">
          <w:rPr>
            <w:rStyle w:val="Hyperlink"/>
            <w:noProof/>
          </w:rPr>
          <w:t>It could be advantageous to offer the hosting of a mobile IAB-DU to a dedicated CU that would always anchor/terminate the F1 connection.</w:t>
        </w:r>
      </w:hyperlink>
    </w:p>
    <w:p w14:paraId="029CA090" w14:textId="7B1CE5C1"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54665253" w14:textId="77777777" w:rsidR="00BD5573"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91307" w:history="1">
        <w:r w:rsidR="00BD5573" w:rsidRPr="000962E2">
          <w:rPr>
            <w:rStyle w:val="Hyperlink"/>
            <w:noProof/>
          </w:rPr>
          <w:t>Proposal 1</w:t>
        </w:r>
        <w:r w:rsidR="00BD5573">
          <w:rPr>
            <w:rFonts w:asciiTheme="minorHAnsi" w:eastAsiaTheme="minorEastAsia" w:hAnsiTheme="minorHAnsi" w:cstheme="minorBidi"/>
            <w:b w:val="0"/>
            <w:noProof/>
            <w:sz w:val="24"/>
            <w:szCs w:val="24"/>
            <w:lang w:val="en-FI" w:eastAsia="en-GB"/>
          </w:rPr>
          <w:tab/>
        </w:r>
        <w:r w:rsidR="00BD5573" w:rsidRPr="000962E2">
          <w:rPr>
            <w:rStyle w:val="Hyperlink"/>
            <w:noProof/>
          </w:rPr>
          <w:t>Information of PCI range that have been used between CUs is exchanged and informed to mobile IAB Node.</w:t>
        </w:r>
      </w:hyperlink>
    </w:p>
    <w:p w14:paraId="74711CC1" w14:textId="77777777" w:rsidR="00BD5573" w:rsidRDefault="00BD55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308" w:history="1">
        <w:r w:rsidRPr="000962E2">
          <w:rPr>
            <w:rStyle w:val="Hyperlink"/>
            <w:noProof/>
          </w:rPr>
          <w:t>Proposal 2</w:t>
        </w:r>
        <w:r>
          <w:rPr>
            <w:rFonts w:asciiTheme="minorHAnsi" w:eastAsiaTheme="minorEastAsia" w:hAnsiTheme="minorHAnsi" w:cstheme="minorBidi"/>
            <w:b w:val="0"/>
            <w:noProof/>
            <w:sz w:val="24"/>
            <w:szCs w:val="24"/>
            <w:lang w:val="en-FI" w:eastAsia="en-GB"/>
          </w:rPr>
          <w:tab/>
        </w:r>
        <w:r w:rsidRPr="000962E2">
          <w:rPr>
            <w:rStyle w:val="Hyperlink"/>
            <w:noProof/>
          </w:rPr>
          <w:t>Mobile-IAB DU receives a range of cell that it can use in a new/target CU from source CU to avoid collision.</w:t>
        </w:r>
      </w:hyperlink>
    </w:p>
    <w:p w14:paraId="326919D1" w14:textId="77777777" w:rsidR="00BD5573" w:rsidRDefault="00BD55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309" w:history="1">
        <w:r w:rsidRPr="000962E2">
          <w:rPr>
            <w:rStyle w:val="Hyperlink"/>
            <w:noProof/>
          </w:rPr>
          <w:t>Proposal 3</w:t>
        </w:r>
        <w:r>
          <w:rPr>
            <w:rFonts w:asciiTheme="minorHAnsi" w:eastAsiaTheme="minorEastAsia" w:hAnsiTheme="minorHAnsi" w:cstheme="minorBidi"/>
            <w:b w:val="0"/>
            <w:noProof/>
            <w:sz w:val="24"/>
            <w:szCs w:val="24"/>
            <w:lang w:val="en-FI" w:eastAsia="en-GB"/>
          </w:rPr>
          <w:tab/>
        </w:r>
        <w:r w:rsidRPr="000962E2">
          <w:rPr>
            <w:rStyle w:val="Hyperlink"/>
            <w:noProof/>
          </w:rPr>
          <w:t>RAN2 to avoid solutions where PCI may have to be changed on the fly (dynamically) at least for intra-CU Mobility.</w:t>
        </w:r>
      </w:hyperlink>
    </w:p>
    <w:p w14:paraId="05102A97" w14:textId="77777777" w:rsidR="00BD5573" w:rsidRDefault="00BD55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310" w:history="1">
        <w:r w:rsidRPr="000962E2">
          <w:rPr>
            <w:rStyle w:val="Hyperlink"/>
            <w:noProof/>
          </w:rPr>
          <w:t>Proposal 4</w:t>
        </w:r>
        <w:r>
          <w:rPr>
            <w:rFonts w:asciiTheme="minorHAnsi" w:eastAsiaTheme="minorEastAsia" w:hAnsiTheme="minorHAnsi" w:cstheme="minorBidi"/>
            <w:b w:val="0"/>
            <w:noProof/>
            <w:sz w:val="24"/>
            <w:szCs w:val="24"/>
            <w:lang w:val="en-FI" w:eastAsia="en-GB"/>
          </w:rPr>
          <w:tab/>
        </w:r>
        <w:r w:rsidRPr="000962E2">
          <w:rPr>
            <w:rStyle w:val="Hyperlink"/>
            <w:noProof/>
          </w:rPr>
          <w:t>RAN2 to send LS to RAN1 on the severity of interference when the PCI collides and if solution of changing PCI is required or can be handled in any other way.</w:t>
        </w:r>
      </w:hyperlink>
    </w:p>
    <w:p w14:paraId="583E9727" w14:textId="77777777" w:rsidR="00BD5573" w:rsidRDefault="00BD55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311" w:history="1">
        <w:r w:rsidRPr="000962E2">
          <w:rPr>
            <w:rStyle w:val="Hyperlink"/>
            <w:noProof/>
          </w:rPr>
          <w:t>Proposal 5</w:t>
        </w:r>
        <w:r>
          <w:rPr>
            <w:rFonts w:asciiTheme="minorHAnsi" w:eastAsiaTheme="minorEastAsia" w:hAnsiTheme="minorHAnsi" w:cstheme="minorBidi"/>
            <w:b w:val="0"/>
            <w:noProof/>
            <w:sz w:val="24"/>
            <w:szCs w:val="24"/>
            <w:lang w:val="en-FI" w:eastAsia="en-GB"/>
          </w:rPr>
          <w:tab/>
        </w:r>
        <w:r w:rsidRPr="000962E2">
          <w:rPr>
            <w:rStyle w:val="Hyperlink"/>
            <w:rFonts w:cs="Arial"/>
            <w:noProof/>
          </w:rPr>
          <w:t xml:space="preserve">RAN2 to </w:t>
        </w:r>
        <w:r w:rsidRPr="000962E2">
          <w:rPr>
            <w:rStyle w:val="Hyperlink"/>
            <w:noProof/>
          </w:rPr>
          <w:t>send an LS to RAN1 to the severity of interference when the RACH resource collides and if solution of changing RACH resources is required or can be handled in any other way.</w:t>
        </w:r>
      </w:hyperlink>
    </w:p>
    <w:p w14:paraId="7439AB20" w14:textId="77777777" w:rsidR="00BD5573" w:rsidRDefault="00BD55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312" w:history="1">
        <w:r w:rsidRPr="000962E2">
          <w:rPr>
            <w:rStyle w:val="Hyperlink"/>
            <w:noProof/>
          </w:rPr>
          <w:t>Proposal 6</w:t>
        </w:r>
        <w:r>
          <w:rPr>
            <w:rFonts w:asciiTheme="minorHAnsi" w:eastAsiaTheme="minorEastAsia" w:hAnsiTheme="minorHAnsi" w:cstheme="minorBidi"/>
            <w:b w:val="0"/>
            <w:noProof/>
            <w:sz w:val="24"/>
            <w:szCs w:val="24"/>
            <w:lang w:val="en-FI" w:eastAsia="en-GB"/>
          </w:rPr>
          <w:tab/>
        </w:r>
        <w:r w:rsidRPr="000962E2">
          <w:rPr>
            <w:rStyle w:val="Hyperlink"/>
            <w:noProof/>
          </w:rPr>
          <w:t>Mobile-IAB cells mirror the same TAC/RAN area code that mobile-IAB-MT selects.</w:t>
        </w:r>
      </w:hyperlink>
    </w:p>
    <w:p w14:paraId="6366E368" w14:textId="77777777" w:rsidR="00BD5573" w:rsidRDefault="00BD557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313" w:history="1">
        <w:r w:rsidRPr="000962E2">
          <w:rPr>
            <w:rStyle w:val="Hyperlink"/>
            <w:noProof/>
          </w:rPr>
          <w:t>Proposal 7</w:t>
        </w:r>
        <w:r>
          <w:rPr>
            <w:rFonts w:asciiTheme="minorHAnsi" w:eastAsiaTheme="minorEastAsia" w:hAnsiTheme="minorHAnsi" w:cstheme="minorBidi"/>
            <w:b w:val="0"/>
            <w:noProof/>
            <w:sz w:val="24"/>
            <w:szCs w:val="24"/>
            <w:lang w:val="en-FI" w:eastAsia="en-GB"/>
          </w:rPr>
          <w:tab/>
        </w:r>
        <w:r w:rsidRPr="000962E2">
          <w:rPr>
            <w:rStyle w:val="Hyperlink"/>
            <w:noProof/>
          </w:rPr>
          <w:t>RAN2 to wait for RAN3 to progress on architecture/migration updates.</w:t>
        </w:r>
      </w:hyperlink>
    </w:p>
    <w:p w14:paraId="64F3E645" w14:textId="7D2F057D" w:rsidR="00C01F33" w:rsidRPr="00CE0424" w:rsidRDefault="006E1C82" w:rsidP="00A65766">
      <w:pPr>
        <w:pStyle w:val="BodyText"/>
      </w:pPr>
      <w:r>
        <w:rPr>
          <w:b/>
          <w:bCs/>
          <w:lang w:val="en-US"/>
        </w:rPr>
        <w:fldChar w:fldCharType="end"/>
      </w:r>
    </w:p>
    <w:p w14:paraId="7BD5CFC3" w14:textId="6B06166E" w:rsidR="00F507D1" w:rsidRPr="00CE0424" w:rsidRDefault="00F14DA2" w:rsidP="00CE0424">
      <w:pPr>
        <w:pStyle w:val="Heading1"/>
      </w:pPr>
      <w:bookmarkStart w:id="15" w:name="_In-sequence_SDU_delivery"/>
      <w:bookmarkEnd w:id="15"/>
      <w:r>
        <w:t>4</w:t>
      </w:r>
      <w:r>
        <w:tab/>
      </w:r>
      <w:r w:rsidR="00F507D1" w:rsidRPr="00CE0424">
        <w:t>References</w:t>
      </w:r>
    </w:p>
    <w:bookmarkStart w:id="16" w:name="_Ref174151459"/>
    <w:bookmarkStart w:id="17" w:name="_Ref189809556"/>
    <w:p w14:paraId="58040610" w14:textId="1FD1CF5F" w:rsidR="00C02250" w:rsidRPr="00C02250" w:rsidRDefault="00CB13D9" w:rsidP="00B96A6F">
      <w:pPr>
        <w:pStyle w:val="Reference"/>
        <w:rPr>
          <w:bCs/>
        </w:rPr>
      </w:pPr>
      <w:r>
        <w:rPr>
          <w:rFonts w:cs="Arial"/>
          <w:bCs/>
          <w:noProof/>
        </w:rPr>
        <w:fldChar w:fldCharType="begin"/>
      </w:r>
      <w:r>
        <w:rPr>
          <w:rFonts w:cs="Arial"/>
          <w:bCs/>
          <w:noProof/>
        </w:rPr>
        <w:instrText xml:space="preserve"> HYPERLINK "http://www.3gpp.org/ftp//tsg_sa/WG2_Arch/TSGS2_151E_Electronic_2022-05/Docs/</w:instrText>
      </w:r>
      <w:r>
        <w:rPr>
          <w:rFonts w:cs="Arial"/>
          <w:bCs/>
          <w:noProof/>
        </w:rPr>
        <w:cr/>
        <w:instrText xml:space="preserve">S2-2204993.zip" </w:instrText>
      </w:r>
      <w:r>
        <w:rPr>
          <w:rFonts w:cs="Arial"/>
          <w:bCs/>
          <w:noProof/>
        </w:rPr>
        <w:fldChar w:fldCharType="separate"/>
      </w:r>
      <w:r w:rsidR="00C02250" w:rsidRPr="00A65766">
        <w:rPr>
          <w:rStyle w:val="Hyperlink"/>
          <w:rFonts w:cs="Arial"/>
          <w:bCs/>
          <w:noProof/>
        </w:rPr>
        <w:t>S2-2204993</w:t>
      </w:r>
      <w:r>
        <w:rPr>
          <w:rFonts w:cs="Arial"/>
          <w:bCs/>
          <w:noProof/>
        </w:rPr>
        <w:fldChar w:fldCharType="end"/>
      </w:r>
      <w:r w:rsidR="00C02250" w:rsidRPr="00C02250">
        <w:rPr>
          <w:rFonts w:cs="Arial"/>
          <w:bCs/>
          <w:noProof/>
        </w:rPr>
        <w:t xml:space="preserve">, </w:t>
      </w:r>
      <w:r w:rsidR="00C02250">
        <w:rPr>
          <w:rFonts w:cs="Arial"/>
          <w:bCs/>
          <w:noProof/>
        </w:rPr>
        <w:t>“</w:t>
      </w:r>
      <w:r w:rsidR="00C02250" w:rsidRPr="00C02250">
        <w:rPr>
          <w:rFonts w:cs="Arial"/>
          <w:bCs/>
        </w:rPr>
        <w:t>23.700-55: Solution for KI#3; IAB optimization for Mobile Base Station Relays</w:t>
      </w:r>
      <w:r w:rsidR="00C02250">
        <w:rPr>
          <w:rFonts w:cs="Arial"/>
          <w:bCs/>
        </w:rPr>
        <w:t>”</w:t>
      </w:r>
      <w:r w:rsidR="00C02250" w:rsidRPr="00C02250">
        <w:rPr>
          <w:rFonts w:cs="Arial"/>
          <w:bCs/>
        </w:rPr>
        <w:t>, Nokia, May 2022</w:t>
      </w:r>
    </w:p>
    <w:p w14:paraId="5DCC939F" w14:textId="4C6D2872" w:rsidR="003A7EF3" w:rsidRPr="00CE0424" w:rsidRDefault="00000000" w:rsidP="00A65766">
      <w:pPr>
        <w:pStyle w:val="Reference"/>
      </w:pPr>
      <w:hyperlink r:id="rId11" w:history="1">
        <w:r w:rsidR="00B96A6F" w:rsidRPr="00A65766">
          <w:rPr>
            <w:rStyle w:val="Hyperlink"/>
          </w:rPr>
          <w:t>RP-221815</w:t>
        </w:r>
      </w:hyperlink>
      <w:r w:rsidR="00B96A6F">
        <w:t>, WID on Mobile IAB for NR, 3GPP TSG RAN#96, Budapest, Hungary, June 2022</w:t>
      </w:r>
      <w:bookmarkEnd w:id="16"/>
      <w:bookmarkEnd w:id="17"/>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73593" w14:textId="77777777" w:rsidR="00BD3AE0" w:rsidRDefault="00BD3AE0">
      <w:r>
        <w:separator/>
      </w:r>
    </w:p>
  </w:endnote>
  <w:endnote w:type="continuationSeparator" w:id="0">
    <w:p w14:paraId="19D683A6" w14:textId="77777777" w:rsidR="00BD3AE0" w:rsidRDefault="00BD3AE0">
      <w:r>
        <w:continuationSeparator/>
      </w:r>
    </w:p>
  </w:endnote>
  <w:endnote w:type="continuationNotice" w:id="1">
    <w:p w14:paraId="71B2C1B8" w14:textId="77777777" w:rsidR="00BD3AE0" w:rsidRDefault="00BD3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EB5C2" w14:textId="77777777" w:rsidR="00BD3AE0" w:rsidRDefault="00BD3AE0">
      <w:r>
        <w:separator/>
      </w:r>
    </w:p>
  </w:footnote>
  <w:footnote w:type="continuationSeparator" w:id="0">
    <w:p w14:paraId="33C089C2" w14:textId="77777777" w:rsidR="00BD3AE0" w:rsidRDefault="00BD3AE0">
      <w:r>
        <w:continuationSeparator/>
      </w:r>
    </w:p>
  </w:footnote>
  <w:footnote w:type="continuationNotice" w:id="1">
    <w:p w14:paraId="2F89EF29" w14:textId="77777777" w:rsidR="00BD3AE0" w:rsidRDefault="00BD3A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9627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DA8F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3178C8"/>
    <w:multiLevelType w:val="hybridMultilevel"/>
    <w:tmpl w:val="C2302A32"/>
    <w:lvl w:ilvl="0" w:tplc="50CE4D9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AA65CE"/>
    <w:multiLevelType w:val="hybridMultilevel"/>
    <w:tmpl w:val="B8E00F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E47AFB"/>
    <w:multiLevelType w:val="hybridMultilevel"/>
    <w:tmpl w:val="88BC3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5B6393"/>
    <w:multiLevelType w:val="hybridMultilevel"/>
    <w:tmpl w:val="91807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490960"/>
    <w:multiLevelType w:val="hybridMultilevel"/>
    <w:tmpl w:val="29F61C24"/>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6040E86"/>
    <w:multiLevelType w:val="hybridMultilevel"/>
    <w:tmpl w:val="5B3C70C6"/>
    <w:lvl w:ilvl="0" w:tplc="B05641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E5D69BD"/>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58095C"/>
    <w:multiLevelType w:val="hybridMultilevel"/>
    <w:tmpl w:val="8CA4F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8D5A5D10"/>
    <w:lvl w:ilvl="0" w:tplc="A90E2EEC">
      <w:start w:val="1"/>
      <w:numFmt w:val="decimal"/>
      <w:pStyle w:val="Observation"/>
      <w:lvlText w:val="Observation %1"/>
      <w:lvlJc w:val="left"/>
      <w:pPr>
        <w:ind w:left="360" w:hanging="360"/>
      </w:pPr>
      <w:rPr>
        <w:color w:val="auto"/>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8F2325"/>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24277D"/>
    <w:multiLevelType w:val="hybridMultilevel"/>
    <w:tmpl w:val="266454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6C246379"/>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0244F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345134886">
    <w:abstractNumId w:val="4"/>
  </w:num>
  <w:num w:numId="2" w16cid:durableId="272446822">
    <w:abstractNumId w:val="25"/>
  </w:num>
  <w:num w:numId="3" w16cid:durableId="1221093599">
    <w:abstractNumId w:val="21"/>
  </w:num>
  <w:num w:numId="4" w16cid:durableId="2075816089">
    <w:abstractNumId w:val="22"/>
  </w:num>
  <w:num w:numId="5" w16cid:durableId="1856967027">
    <w:abstractNumId w:val="17"/>
  </w:num>
  <w:num w:numId="6" w16cid:durableId="276260745">
    <w:abstractNumId w:val="24"/>
  </w:num>
  <w:num w:numId="7" w16cid:durableId="1359236879">
    <w:abstractNumId w:val="28"/>
  </w:num>
  <w:num w:numId="8" w16cid:durableId="1025669786">
    <w:abstractNumId w:val="18"/>
  </w:num>
  <w:num w:numId="9" w16cid:durableId="960918840">
    <w:abstractNumId w:val="14"/>
  </w:num>
  <w:num w:numId="10" w16cid:durableId="753556041">
    <w:abstractNumId w:val="2"/>
  </w:num>
  <w:num w:numId="11" w16cid:durableId="1714765372">
    <w:abstractNumId w:val="1"/>
  </w:num>
  <w:num w:numId="12" w16cid:durableId="1220283651">
    <w:abstractNumId w:val="0"/>
  </w:num>
  <w:num w:numId="13" w16cid:durableId="1711805965">
    <w:abstractNumId w:val="26"/>
  </w:num>
  <w:num w:numId="14" w16cid:durableId="810907278">
    <w:abstractNumId w:val="27"/>
  </w:num>
  <w:num w:numId="15" w16cid:durableId="95223879">
    <w:abstractNumId w:val="23"/>
  </w:num>
  <w:num w:numId="16" w16cid:durableId="1199467733">
    <w:abstractNumId w:val="30"/>
  </w:num>
  <w:num w:numId="17" w16cid:durableId="73362696">
    <w:abstractNumId w:val="9"/>
  </w:num>
  <w:num w:numId="18" w16cid:durableId="516236365">
    <w:abstractNumId w:val="13"/>
  </w:num>
  <w:num w:numId="19" w16cid:durableId="1524199104">
    <w:abstractNumId w:val="6"/>
  </w:num>
  <w:num w:numId="20" w16cid:durableId="2129086947">
    <w:abstractNumId w:val="36"/>
  </w:num>
  <w:num w:numId="21" w16cid:durableId="1287853025">
    <w:abstractNumId w:val="19"/>
  </w:num>
  <w:num w:numId="22" w16cid:durableId="1332413387">
    <w:abstractNumId w:val="34"/>
  </w:num>
  <w:num w:numId="23" w16cid:durableId="1148520225">
    <w:abstractNumId w:val="15"/>
  </w:num>
  <w:num w:numId="24" w16cid:durableId="594288915">
    <w:abstractNumId w:val="8"/>
  </w:num>
  <w:num w:numId="25" w16cid:durableId="2141024840">
    <w:abstractNumId w:val="10"/>
  </w:num>
  <w:num w:numId="26" w16cid:durableId="94596442">
    <w:abstractNumId w:val="33"/>
  </w:num>
  <w:num w:numId="27" w16cid:durableId="1905793667">
    <w:abstractNumId w:val="37"/>
  </w:num>
  <w:num w:numId="28" w16cid:durableId="1133016620">
    <w:abstractNumId w:val="29"/>
  </w:num>
  <w:num w:numId="29" w16cid:durableId="882986542">
    <w:abstractNumId w:val="16"/>
  </w:num>
  <w:num w:numId="30" w16cid:durableId="2537069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2700643">
    <w:abstractNumId w:val="3"/>
  </w:num>
  <w:num w:numId="32" w16cid:durableId="1824657736">
    <w:abstractNumId w:val="31"/>
  </w:num>
  <w:num w:numId="33" w16cid:durableId="940835780">
    <w:abstractNumId w:val="20"/>
  </w:num>
  <w:num w:numId="34" w16cid:durableId="806321547">
    <w:abstractNumId w:val="5"/>
  </w:num>
  <w:num w:numId="35" w16cid:durableId="217979987">
    <w:abstractNumId w:val="12"/>
  </w:num>
  <w:num w:numId="36" w16cid:durableId="1219054399">
    <w:abstractNumId w:val="35"/>
  </w:num>
  <w:num w:numId="37" w16cid:durableId="1829438031">
    <w:abstractNumId w:val="11"/>
  </w:num>
  <w:num w:numId="38" w16cid:durableId="26157590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16A88"/>
    <w:rsid w:val="00016D0C"/>
    <w:rsid w:val="00024BB2"/>
    <w:rsid w:val="00024E62"/>
    <w:rsid w:val="0002564D"/>
    <w:rsid w:val="00025ECA"/>
    <w:rsid w:val="000325B8"/>
    <w:rsid w:val="00034C15"/>
    <w:rsid w:val="00036BA1"/>
    <w:rsid w:val="00037383"/>
    <w:rsid w:val="0004101F"/>
    <w:rsid w:val="000422E2"/>
    <w:rsid w:val="00042F22"/>
    <w:rsid w:val="000444EF"/>
    <w:rsid w:val="0005242C"/>
    <w:rsid w:val="00052A07"/>
    <w:rsid w:val="000534E3"/>
    <w:rsid w:val="0005606A"/>
    <w:rsid w:val="00057117"/>
    <w:rsid w:val="000616E7"/>
    <w:rsid w:val="0006487E"/>
    <w:rsid w:val="00065E1A"/>
    <w:rsid w:val="00075743"/>
    <w:rsid w:val="00077E5F"/>
    <w:rsid w:val="0008036A"/>
    <w:rsid w:val="00081AE6"/>
    <w:rsid w:val="00082D6C"/>
    <w:rsid w:val="000855EB"/>
    <w:rsid w:val="00085B52"/>
    <w:rsid w:val="0008602B"/>
    <w:rsid w:val="000866F2"/>
    <w:rsid w:val="0009009F"/>
    <w:rsid w:val="00091557"/>
    <w:rsid w:val="000924C1"/>
    <w:rsid w:val="000924F0"/>
    <w:rsid w:val="00093474"/>
    <w:rsid w:val="0009510F"/>
    <w:rsid w:val="000A05C6"/>
    <w:rsid w:val="000A1B7B"/>
    <w:rsid w:val="000A56F2"/>
    <w:rsid w:val="000A5AB7"/>
    <w:rsid w:val="000A719B"/>
    <w:rsid w:val="000B2719"/>
    <w:rsid w:val="000B3A8F"/>
    <w:rsid w:val="000B4AB9"/>
    <w:rsid w:val="000B58C3"/>
    <w:rsid w:val="000B61E9"/>
    <w:rsid w:val="000C165A"/>
    <w:rsid w:val="000C2E19"/>
    <w:rsid w:val="000D0D07"/>
    <w:rsid w:val="000D4797"/>
    <w:rsid w:val="000E0527"/>
    <w:rsid w:val="000E0B8A"/>
    <w:rsid w:val="000E1E92"/>
    <w:rsid w:val="000E5C6F"/>
    <w:rsid w:val="000E7DB0"/>
    <w:rsid w:val="000F047E"/>
    <w:rsid w:val="000F06D6"/>
    <w:rsid w:val="000F0EB1"/>
    <w:rsid w:val="000F1106"/>
    <w:rsid w:val="000F3B50"/>
    <w:rsid w:val="000F3BE9"/>
    <w:rsid w:val="000F3F6C"/>
    <w:rsid w:val="000F6C65"/>
    <w:rsid w:val="000F6DF3"/>
    <w:rsid w:val="0010055B"/>
    <w:rsid w:val="001005FF"/>
    <w:rsid w:val="001019D9"/>
    <w:rsid w:val="00102D8C"/>
    <w:rsid w:val="001062FB"/>
    <w:rsid w:val="001063E6"/>
    <w:rsid w:val="001115CA"/>
    <w:rsid w:val="00113CF4"/>
    <w:rsid w:val="001153EA"/>
    <w:rsid w:val="00115643"/>
    <w:rsid w:val="00115D57"/>
    <w:rsid w:val="00115F10"/>
    <w:rsid w:val="00116765"/>
    <w:rsid w:val="0011683B"/>
    <w:rsid w:val="001203C8"/>
    <w:rsid w:val="001219F5"/>
    <w:rsid w:val="00121A20"/>
    <w:rsid w:val="00121FD7"/>
    <w:rsid w:val="0012377F"/>
    <w:rsid w:val="00124314"/>
    <w:rsid w:val="00124EFC"/>
    <w:rsid w:val="00125383"/>
    <w:rsid w:val="00126B4A"/>
    <w:rsid w:val="0013218B"/>
    <w:rsid w:val="00132FD0"/>
    <w:rsid w:val="001344C0"/>
    <w:rsid w:val="001346FA"/>
    <w:rsid w:val="00135252"/>
    <w:rsid w:val="00137AB5"/>
    <w:rsid w:val="00137F0B"/>
    <w:rsid w:val="0014087E"/>
    <w:rsid w:val="0014256C"/>
    <w:rsid w:val="00145B48"/>
    <w:rsid w:val="001504B1"/>
    <w:rsid w:val="00151E23"/>
    <w:rsid w:val="001526E0"/>
    <w:rsid w:val="001551B5"/>
    <w:rsid w:val="00161ACB"/>
    <w:rsid w:val="001659C1"/>
    <w:rsid w:val="00173A8E"/>
    <w:rsid w:val="0017502C"/>
    <w:rsid w:val="0018143F"/>
    <w:rsid w:val="00181FF8"/>
    <w:rsid w:val="00185541"/>
    <w:rsid w:val="00190154"/>
    <w:rsid w:val="0019064E"/>
    <w:rsid w:val="00190AC1"/>
    <w:rsid w:val="00191BB9"/>
    <w:rsid w:val="00192258"/>
    <w:rsid w:val="0019310A"/>
    <w:rsid w:val="0019341A"/>
    <w:rsid w:val="00197DF9"/>
    <w:rsid w:val="001A1987"/>
    <w:rsid w:val="001A2564"/>
    <w:rsid w:val="001A6173"/>
    <w:rsid w:val="001A6CBA"/>
    <w:rsid w:val="001B029D"/>
    <w:rsid w:val="001B0D97"/>
    <w:rsid w:val="001B5A5D"/>
    <w:rsid w:val="001B641A"/>
    <w:rsid w:val="001C0D03"/>
    <w:rsid w:val="001C1CE5"/>
    <w:rsid w:val="001C36A5"/>
    <w:rsid w:val="001C3D2A"/>
    <w:rsid w:val="001D4CF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BB5"/>
    <w:rsid w:val="00214DA8"/>
    <w:rsid w:val="00215423"/>
    <w:rsid w:val="002158FA"/>
    <w:rsid w:val="00215F3E"/>
    <w:rsid w:val="002176F5"/>
    <w:rsid w:val="00220600"/>
    <w:rsid w:val="002224DB"/>
    <w:rsid w:val="00223F54"/>
    <w:rsid w:val="00223FCB"/>
    <w:rsid w:val="002252C3"/>
    <w:rsid w:val="00225C54"/>
    <w:rsid w:val="00230765"/>
    <w:rsid w:val="00230D18"/>
    <w:rsid w:val="002319E4"/>
    <w:rsid w:val="00235632"/>
    <w:rsid w:val="00235872"/>
    <w:rsid w:val="00241559"/>
    <w:rsid w:val="002435B3"/>
    <w:rsid w:val="002458EB"/>
    <w:rsid w:val="002500C8"/>
    <w:rsid w:val="00256561"/>
    <w:rsid w:val="00257543"/>
    <w:rsid w:val="002617E7"/>
    <w:rsid w:val="00262D81"/>
    <w:rsid w:val="00264228"/>
    <w:rsid w:val="00264334"/>
    <w:rsid w:val="0026473E"/>
    <w:rsid w:val="00266214"/>
    <w:rsid w:val="00267C83"/>
    <w:rsid w:val="0027144F"/>
    <w:rsid w:val="00271813"/>
    <w:rsid w:val="00271F3A"/>
    <w:rsid w:val="00272722"/>
    <w:rsid w:val="00273278"/>
    <w:rsid w:val="002737F4"/>
    <w:rsid w:val="0028022F"/>
    <w:rsid w:val="002805F5"/>
    <w:rsid w:val="00280751"/>
    <w:rsid w:val="0028280A"/>
    <w:rsid w:val="00286ACD"/>
    <w:rsid w:val="00287838"/>
    <w:rsid w:val="0029040B"/>
    <w:rsid w:val="002907B5"/>
    <w:rsid w:val="00292EB7"/>
    <w:rsid w:val="00296227"/>
    <w:rsid w:val="00296F44"/>
    <w:rsid w:val="0029777D"/>
    <w:rsid w:val="002A055E"/>
    <w:rsid w:val="002A1D4E"/>
    <w:rsid w:val="002A2869"/>
    <w:rsid w:val="002A35AA"/>
    <w:rsid w:val="002A3904"/>
    <w:rsid w:val="002B24D6"/>
    <w:rsid w:val="002B3161"/>
    <w:rsid w:val="002B4730"/>
    <w:rsid w:val="002B74AD"/>
    <w:rsid w:val="002C1FF3"/>
    <w:rsid w:val="002C41E6"/>
    <w:rsid w:val="002C78CE"/>
    <w:rsid w:val="002D071A"/>
    <w:rsid w:val="002D34B2"/>
    <w:rsid w:val="002D48B0"/>
    <w:rsid w:val="002D5B37"/>
    <w:rsid w:val="002D7637"/>
    <w:rsid w:val="002E17F2"/>
    <w:rsid w:val="002E4AAE"/>
    <w:rsid w:val="002E7CAE"/>
    <w:rsid w:val="002F2771"/>
    <w:rsid w:val="002F37A9"/>
    <w:rsid w:val="002F3FE8"/>
    <w:rsid w:val="002F7802"/>
    <w:rsid w:val="00300C51"/>
    <w:rsid w:val="00301C0D"/>
    <w:rsid w:val="00301CE6"/>
    <w:rsid w:val="0030256B"/>
    <w:rsid w:val="0030501F"/>
    <w:rsid w:val="00307BA1"/>
    <w:rsid w:val="0031105D"/>
    <w:rsid w:val="00311702"/>
    <w:rsid w:val="00311E82"/>
    <w:rsid w:val="0031229B"/>
    <w:rsid w:val="00313FD6"/>
    <w:rsid w:val="003143BD"/>
    <w:rsid w:val="003143F1"/>
    <w:rsid w:val="00315363"/>
    <w:rsid w:val="00320021"/>
    <w:rsid w:val="003203ED"/>
    <w:rsid w:val="00321E88"/>
    <w:rsid w:val="00322C9F"/>
    <w:rsid w:val="00324D23"/>
    <w:rsid w:val="00331751"/>
    <w:rsid w:val="00333C78"/>
    <w:rsid w:val="00334579"/>
    <w:rsid w:val="00335858"/>
    <w:rsid w:val="00336BDA"/>
    <w:rsid w:val="00342BD7"/>
    <w:rsid w:val="00346DB5"/>
    <w:rsid w:val="003477B1"/>
    <w:rsid w:val="00350DC2"/>
    <w:rsid w:val="00354B16"/>
    <w:rsid w:val="00357380"/>
    <w:rsid w:val="003602D9"/>
    <w:rsid w:val="003604CE"/>
    <w:rsid w:val="00363E02"/>
    <w:rsid w:val="00370E47"/>
    <w:rsid w:val="00371997"/>
    <w:rsid w:val="00371A67"/>
    <w:rsid w:val="00371F4F"/>
    <w:rsid w:val="003732F6"/>
    <w:rsid w:val="003742AC"/>
    <w:rsid w:val="00376909"/>
    <w:rsid w:val="00377AC6"/>
    <w:rsid w:val="00377CE1"/>
    <w:rsid w:val="00385BF0"/>
    <w:rsid w:val="003939FF"/>
    <w:rsid w:val="00394A36"/>
    <w:rsid w:val="003A2223"/>
    <w:rsid w:val="003A2A0F"/>
    <w:rsid w:val="003A45A1"/>
    <w:rsid w:val="003A5B0A"/>
    <w:rsid w:val="003A6BAC"/>
    <w:rsid w:val="003A70A4"/>
    <w:rsid w:val="003A7972"/>
    <w:rsid w:val="003A7EF3"/>
    <w:rsid w:val="003B159C"/>
    <w:rsid w:val="003B369F"/>
    <w:rsid w:val="003B36A3"/>
    <w:rsid w:val="003B64BB"/>
    <w:rsid w:val="003B7FE5"/>
    <w:rsid w:val="003C107A"/>
    <w:rsid w:val="003C11C8"/>
    <w:rsid w:val="003C2702"/>
    <w:rsid w:val="003C299A"/>
    <w:rsid w:val="003C7806"/>
    <w:rsid w:val="003D109F"/>
    <w:rsid w:val="003D2478"/>
    <w:rsid w:val="003D3C45"/>
    <w:rsid w:val="003D5B1F"/>
    <w:rsid w:val="003E15FA"/>
    <w:rsid w:val="003E55E4"/>
    <w:rsid w:val="003E74E3"/>
    <w:rsid w:val="003F05C7"/>
    <w:rsid w:val="003F2CD4"/>
    <w:rsid w:val="003F5353"/>
    <w:rsid w:val="003F6BBE"/>
    <w:rsid w:val="003F6BD0"/>
    <w:rsid w:val="004000E8"/>
    <w:rsid w:val="004002AA"/>
    <w:rsid w:val="00402E2B"/>
    <w:rsid w:val="0040512B"/>
    <w:rsid w:val="00405CA5"/>
    <w:rsid w:val="00407CD3"/>
    <w:rsid w:val="00410134"/>
    <w:rsid w:val="00410641"/>
    <w:rsid w:val="00410B72"/>
    <w:rsid w:val="00410F18"/>
    <w:rsid w:val="0041263E"/>
    <w:rsid w:val="00413AAC"/>
    <w:rsid w:val="00413E92"/>
    <w:rsid w:val="00415B62"/>
    <w:rsid w:val="00421105"/>
    <w:rsid w:val="004223C4"/>
    <w:rsid w:val="0042244D"/>
    <w:rsid w:val="00422AA4"/>
    <w:rsid w:val="00423EF6"/>
    <w:rsid w:val="004242F4"/>
    <w:rsid w:val="00427248"/>
    <w:rsid w:val="004367BC"/>
    <w:rsid w:val="00437447"/>
    <w:rsid w:val="004419FB"/>
    <w:rsid w:val="00441A92"/>
    <w:rsid w:val="004423A4"/>
    <w:rsid w:val="004431DC"/>
    <w:rsid w:val="00444F56"/>
    <w:rsid w:val="00446488"/>
    <w:rsid w:val="004517AA"/>
    <w:rsid w:val="00452CAC"/>
    <w:rsid w:val="00457565"/>
    <w:rsid w:val="00457B71"/>
    <w:rsid w:val="004669E2"/>
    <w:rsid w:val="00466B33"/>
    <w:rsid w:val="00467692"/>
    <w:rsid w:val="00470C31"/>
    <w:rsid w:val="00471DE0"/>
    <w:rsid w:val="004734D0"/>
    <w:rsid w:val="0047542B"/>
    <w:rsid w:val="0047556B"/>
    <w:rsid w:val="00477768"/>
    <w:rsid w:val="00481751"/>
    <w:rsid w:val="00485170"/>
    <w:rsid w:val="00492BC5"/>
    <w:rsid w:val="004964F1"/>
    <w:rsid w:val="004A16BC"/>
    <w:rsid w:val="004A2B94"/>
    <w:rsid w:val="004A3BC9"/>
    <w:rsid w:val="004A7636"/>
    <w:rsid w:val="004B01C5"/>
    <w:rsid w:val="004B02BD"/>
    <w:rsid w:val="004B1C51"/>
    <w:rsid w:val="004B6F6A"/>
    <w:rsid w:val="004B7C0C"/>
    <w:rsid w:val="004C3898"/>
    <w:rsid w:val="004D36B1"/>
    <w:rsid w:val="004D54C5"/>
    <w:rsid w:val="004D7EBD"/>
    <w:rsid w:val="004E2680"/>
    <w:rsid w:val="004E28F9"/>
    <w:rsid w:val="004E462E"/>
    <w:rsid w:val="004E50C2"/>
    <w:rsid w:val="004E56DC"/>
    <w:rsid w:val="004E6446"/>
    <w:rsid w:val="004E76F4"/>
    <w:rsid w:val="004F0B4E"/>
    <w:rsid w:val="004F0B6C"/>
    <w:rsid w:val="004F1543"/>
    <w:rsid w:val="004F2078"/>
    <w:rsid w:val="004F4DA3"/>
    <w:rsid w:val="0050487A"/>
    <w:rsid w:val="00506557"/>
    <w:rsid w:val="0050677A"/>
    <w:rsid w:val="00507BC8"/>
    <w:rsid w:val="005108D8"/>
    <w:rsid w:val="005116F9"/>
    <w:rsid w:val="00513D22"/>
    <w:rsid w:val="005153A7"/>
    <w:rsid w:val="005219CF"/>
    <w:rsid w:val="005227C2"/>
    <w:rsid w:val="0052398E"/>
    <w:rsid w:val="0052649C"/>
    <w:rsid w:val="00534B59"/>
    <w:rsid w:val="005353BF"/>
    <w:rsid w:val="00536759"/>
    <w:rsid w:val="00537C62"/>
    <w:rsid w:val="005404D2"/>
    <w:rsid w:val="005405B1"/>
    <w:rsid w:val="00546970"/>
    <w:rsid w:val="0055322D"/>
    <w:rsid w:val="00554E19"/>
    <w:rsid w:val="0056121F"/>
    <w:rsid w:val="00562546"/>
    <w:rsid w:val="00562A86"/>
    <w:rsid w:val="00567EDC"/>
    <w:rsid w:val="00572505"/>
    <w:rsid w:val="00573E9A"/>
    <w:rsid w:val="00582809"/>
    <w:rsid w:val="00583092"/>
    <w:rsid w:val="00585B5B"/>
    <w:rsid w:val="0058798C"/>
    <w:rsid w:val="005900FA"/>
    <w:rsid w:val="00592916"/>
    <w:rsid w:val="005935A4"/>
    <w:rsid w:val="005948C2"/>
    <w:rsid w:val="00595DCA"/>
    <w:rsid w:val="0059779B"/>
    <w:rsid w:val="005A209A"/>
    <w:rsid w:val="005A5328"/>
    <w:rsid w:val="005A662D"/>
    <w:rsid w:val="005A7B75"/>
    <w:rsid w:val="005A7FCA"/>
    <w:rsid w:val="005B1409"/>
    <w:rsid w:val="005B35D7"/>
    <w:rsid w:val="005B392A"/>
    <w:rsid w:val="005B3AA3"/>
    <w:rsid w:val="005B4E2C"/>
    <w:rsid w:val="005B6F83"/>
    <w:rsid w:val="005C3F9D"/>
    <w:rsid w:val="005C4428"/>
    <w:rsid w:val="005C5B75"/>
    <w:rsid w:val="005C74FB"/>
    <w:rsid w:val="005D1602"/>
    <w:rsid w:val="005D259C"/>
    <w:rsid w:val="005D5EDA"/>
    <w:rsid w:val="005E385F"/>
    <w:rsid w:val="005E5B81"/>
    <w:rsid w:val="005F2CB1"/>
    <w:rsid w:val="005F3025"/>
    <w:rsid w:val="005F3B75"/>
    <w:rsid w:val="005F618C"/>
    <w:rsid w:val="005F70BD"/>
    <w:rsid w:val="0060027A"/>
    <w:rsid w:val="0060201D"/>
    <w:rsid w:val="0060283C"/>
    <w:rsid w:val="00604F14"/>
    <w:rsid w:val="006116D1"/>
    <w:rsid w:val="00611B83"/>
    <w:rsid w:val="00613257"/>
    <w:rsid w:val="00613326"/>
    <w:rsid w:val="006155AC"/>
    <w:rsid w:val="00620A71"/>
    <w:rsid w:val="00620D80"/>
    <w:rsid w:val="006234A6"/>
    <w:rsid w:val="0062389D"/>
    <w:rsid w:val="006238AD"/>
    <w:rsid w:val="00630001"/>
    <w:rsid w:val="006311B3"/>
    <w:rsid w:val="00631629"/>
    <w:rsid w:val="00632187"/>
    <w:rsid w:val="0063284C"/>
    <w:rsid w:val="0063618B"/>
    <w:rsid w:val="00636398"/>
    <w:rsid w:val="006368D3"/>
    <w:rsid w:val="006377EC"/>
    <w:rsid w:val="00637D9E"/>
    <w:rsid w:val="00640AF3"/>
    <w:rsid w:val="0064151F"/>
    <w:rsid w:val="00641533"/>
    <w:rsid w:val="0064208D"/>
    <w:rsid w:val="00643475"/>
    <w:rsid w:val="0064396A"/>
    <w:rsid w:val="0064624E"/>
    <w:rsid w:val="00650AB9"/>
    <w:rsid w:val="006551B8"/>
    <w:rsid w:val="00655733"/>
    <w:rsid w:val="00655ACD"/>
    <w:rsid w:val="0065690C"/>
    <w:rsid w:val="00656A92"/>
    <w:rsid w:val="00656DDE"/>
    <w:rsid w:val="0066011D"/>
    <w:rsid w:val="006607C0"/>
    <w:rsid w:val="00660F7B"/>
    <w:rsid w:val="006613A6"/>
    <w:rsid w:val="006627A2"/>
    <w:rsid w:val="006634E6"/>
    <w:rsid w:val="006655EE"/>
    <w:rsid w:val="00667EE7"/>
    <w:rsid w:val="006703B5"/>
    <w:rsid w:val="00670922"/>
    <w:rsid w:val="00670BE1"/>
    <w:rsid w:val="00670F91"/>
    <w:rsid w:val="00671FAA"/>
    <w:rsid w:val="0067218F"/>
    <w:rsid w:val="006741F2"/>
    <w:rsid w:val="00674CC3"/>
    <w:rsid w:val="00674DC9"/>
    <w:rsid w:val="00675C72"/>
    <w:rsid w:val="006771F9"/>
    <w:rsid w:val="006776D7"/>
    <w:rsid w:val="00681003"/>
    <w:rsid w:val="006817C9"/>
    <w:rsid w:val="00683ECE"/>
    <w:rsid w:val="00695FC2"/>
    <w:rsid w:val="00696949"/>
    <w:rsid w:val="00697052"/>
    <w:rsid w:val="006A1EEC"/>
    <w:rsid w:val="006A46FB"/>
    <w:rsid w:val="006A5E28"/>
    <w:rsid w:val="006A697B"/>
    <w:rsid w:val="006A6BB1"/>
    <w:rsid w:val="006A7232"/>
    <w:rsid w:val="006A7AFF"/>
    <w:rsid w:val="006A7D20"/>
    <w:rsid w:val="006B1816"/>
    <w:rsid w:val="006B1D11"/>
    <w:rsid w:val="006B2099"/>
    <w:rsid w:val="006B50CF"/>
    <w:rsid w:val="006C03B8"/>
    <w:rsid w:val="006C2599"/>
    <w:rsid w:val="006C2D60"/>
    <w:rsid w:val="006C5EC9"/>
    <w:rsid w:val="006C6059"/>
    <w:rsid w:val="006C7522"/>
    <w:rsid w:val="006D5135"/>
    <w:rsid w:val="006D5511"/>
    <w:rsid w:val="006D6F08"/>
    <w:rsid w:val="006E062C"/>
    <w:rsid w:val="006E1C82"/>
    <w:rsid w:val="006E28B7"/>
    <w:rsid w:val="006E2A9B"/>
    <w:rsid w:val="006E3310"/>
    <w:rsid w:val="006E3646"/>
    <w:rsid w:val="006E4E39"/>
    <w:rsid w:val="006E565E"/>
    <w:rsid w:val="006E673D"/>
    <w:rsid w:val="006E7D3B"/>
    <w:rsid w:val="006F1A5A"/>
    <w:rsid w:val="006F1B70"/>
    <w:rsid w:val="006F341D"/>
    <w:rsid w:val="006F3CDE"/>
    <w:rsid w:val="006F58D4"/>
    <w:rsid w:val="006F6582"/>
    <w:rsid w:val="0070346E"/>
    <w:rsid w:val="00704EDB"/>
    <w:rsid w:val="00706101"/>
    <w:rsid w:val="00706F7B"/>
    <w:rsid w:val="00707072"/>
    <w:rsid w:val="00707D61"/>
    <w:rsid w:val="00710039"/>
    <w:rsid w:val="00712287"/>
    <w:rsid w:val="00712772"/>
    <w:rsid w:val="007138EE"/>
    <w:rsid w:val="007148D3"/>
    <w:rsid w:val="00715B9A"/>
    <w:rsid w:val="007257D0"/>
    <w:rsid w:val="00726EA6"/>
    <w:rsid w:val="00727208"/>
    <w:rsid w:val="00727680"/>
    <w:rsid w:val="00731044"/>
    <w:rsid w:val="00734842"/>
    <w:rsid w:val="007348B1"/>
    <w:rsid w:val="007362A6"/>
    <w:rsid w:val="00736D7D"/>
    <w:rsid w:val="00740E58"/>
    <w:rsid w:val="007445A0"/>
    <w:rsid w:val="0074524B"/>
    <w:rsid w:val="007473CF"/>
    <w:rsid w:val="00747D8B"/>
    <w:rsid w:val="00751228"/>
    <w:rsid w:val="007571E1"/>
    <w:rsid w:val="00757A16"/>
    <w:rsid w:val="007604B2"/>
    <w:rsid w:val="00762D16"/>
    <w:rsid w:val="00763F7F"/>
    <w:rsid w:val="00765281"/>
    <w:rsid w:val="00766BAD"/>
    <w:rsid w:val="0077158F"/>
    <w:rsid w:val="007729A2"/>
    <w:rsid w:val="007755F2"/>
    <w:rsid w:val="007761FD"/>
    <w:rsid w:val="00776971"/>
    <w:rsid w:val="00780A80"/>
    <w:rsid w:val="0078177E"/>
    <w:rsid w:val="0078304C"/>
    <w:rsid w:val="00783673"/>
    <w:rsid w:val="00785490"/>
    <w:rsid w:val="007925EA"/>
    <w:rsid w:val="00792912"/>
    <w:rsid w:val="00792DC6"/>
    <w:rsid w:val="00793CD8"/>
    <w:rsid w:val="00795C92"/>
    <w:rsid w:val="00796231"/>
    <w:rsid w:val="007974E0"/>
    <w:rsid w:val="007A1CB3"/>
    <w:rsid w:val="007A306F"/>
    <w:rsid w:val="007A43A6"/>
    <w:rsid w:val="007A58A6"/>
    <w:rsid w:val="007B16A6"/>
    <w:rsid w:val="007B3D2D"/>
    <w:rsid w:val="007B50AE"/>
    <w:rsid w:val="007B51DF"/>
    <w:rsid w:val="007B7D82"/>
    <w:rsid w:val="007C05DD"/>
    <w:rsid w:val="007C08EB"/>
    <w:rsid w:val="007C0E66"/>
    <w:rsid w:val="007C27B0"/>
    <w:rsid w:val="007C3D18"/>
    <w:rsid w:val="007C4273"/>
    <w:rsid w:val="007C60BF"/>
    <w:rsid w:val="007C6A07"/>
    <w:rsid w:val="007C75A1"/>
    <w:rsid w:val="007C77A5"/>
    <w:rsid w:val="007D04E5"/>
    <w:rsid w:val="007D5901"/>
    <w:rsid w:val="007D6CBC"/>
    <w:rsid w:val="007D7526"/>
    <w:rsid w:val="007E2E3C"/>
    <w:rsid w:val="007E4610"/>
    <w:rsid w:val="007E4715"/>
    <w:rsid w:val="007E505B"/>
    <w:rsid w:val="007E7091"/>
    <w:rsid w:val="007F2FDE"/>
    <w:rsid w:val="007F3814"/>
    <w:rsid w:val="007F5427"/>
    <w:rsid w:val="00803FAE"/>
    <w:rsid w:val="0080605F"/>
    <w:rsid w:val="0080626A"/>
    <w:rsid w:val="00807786"/>
    <w:rsid w:val="00811FCB"/>
    <w:rsid w:val="008123CB"/>
    <w:rsid w:val="008139A1"/>
    <w:rsid w:val="00814EC4"/>
    <w:rsid w:val="008158D6"/>
    <w:rsid w:val="00817196"/>
    <w:rsid w:val="0081740C"/>
    <w:rsid w:val="008235DB"/>
    <w:rsid w:val="0082499B"/>
    <w:rsid w:val="00824AB4"/>
    <w:rsid w:val="00824DBB"/>
    <w:rsid w:val="00825C42"/>
    <w:rsid w:val="00825D25"/>
    <w:rsid w:val="00827D6F"/>
    <w:rsid w:val="008376AC"/>
    <w:rsid w:val="00837E65"/>
    <w:rsid w:val="008444E8"/>
    <w:rsid w:val="00844E80"/>
    <w:rsid w:val="00846FE7"/>
    <w:rsid w:val="00847215"/>
    <w:rsid w:val="00855576"/>
    <w:rsid w:val="00856911"/>
    <w:rsid w:val="00862BEC"/>
    <w:rsid w:val="00864526"/>
    <w:rsid w:val="008677FD"/>
    <w:rsid w:val="008706D4"/>
    <w:rsid w:val="00870F8A"/>
    <w:rsid w:val="00871088"/>
    <w:rsid w:val="008710C9"/>
    <w:rsid w:val="008719A4"/>
    <w:rsid w:val="00871D23"/>
    <w:rsid w:val="00874312"/>
    <w:rsid w:val="0087437C"/>
    <w:rsid w:val="00875375"/>
    <w:rsid w:val="00875CD7"/>
    <w:rsid w:val="00876B4D"/>
    <w:rsid w:val="00877F18"/>
    <w:rsid w:val="00881E3E"/>
    <w:rsid w:val="008835D1"/>
    <w:rsid w:val="008907BE"/>
    <w:rsid w:val="00891381"/>
    <w:rsid w:val="008941E3"/>
    <w:rsid w:val="00894A88"/>
    <w:rsid w:val="00895386"/>
    <w:rsid w:val="008A21FF"/>
    <w:rsid w:val="008A2CE2"/>
    <w:rsid w:val="008A30AC"/>
    <w:rsid w:val="008A44B8"/>
    <w:rsid w:val="008A51A8"/>
    <w:rsid w:val="008A54C7"/>
    <w:rsid w:val="008A77D8"/>
    <w:rsid w:val="008B0483"/>
    <w:rsid w:val="008B120C"/>
    <w:rsid w:val="008B18C1"/>
    <w:rsid w:val="008B20D4"/>
    <w:rsid w:val="008B51A0"/>
    <w:rsid w:val="008B592A"/>
    <w:rsid w:val="008B7B5C"/>
    <w:rsid w:val="008C0C99"/>
    <w:rsid w:val="008C2017"/>
    <w:rsid w:val="008C4958"/>
    <w:rsid w:val="008C4BAA"/>
    <w:rsid w:val="008C6AE8"/>
    <w:rsid w:val="008C7573"/>
    <w:rsid w:val="008D00A5"/>
    <w:rsid w:val="008D1D70"/>
    <w:rsid w:val="008D22F4"/>
    <w:rsid w:val="008D2888"/>
    <w:rsid w:val="008D34F1"/>
    <w:rsid w:val="008D39D8"/>
    <w:rsid w:val="008D6D1A"/>
    <w:rsid w:val="008E065E"/>
    <w:rsid w:val="008E0927"/>
    <w:rsid w:val="008E1909"/>
    <w:rsid w:val="008E5C6A"/>
    <w:rsid w:val="008F1EAB"/>
    <w:rsid w:val="008F33DC"/>
    <w:rsid w:val="008F477F"/>
    <w:rsid w:val="008F671E"/>
    <w:rsid w:val="008F676B"/>
    <w:rsid w:val="008F7024"/>
    <w:rsid w:val="008F74CC"/>
    <w:rsid w:val="008F75BB"/>
    <w:rsid w:val="00902350"/>
    <w:rsid w:val="0090336B"/>
    <w:rsid w:val="009053AA"/>
    <w:rsid w:val="00906939"/>
    <w:rsid w:val="00910B7D"/>
    <w:rsid w:val="00911DFB"/>
    <w:rsid w:val="009139D9"/>
    <w:rsid w:val="00914AD8"/>
    <w:rsid w:val="00916079"/>
    <w:rsid w:val="00917CE9"/>
    <w:rsid w:val="00920BF2"/>
    <w:rsid w:val="00922010"/>
    <w:rsid w:val="00924881"/>
    <w:rsid w:val="00931BD9"/>
    <w:rsid w:val="009368F3"/>
    <w:rsid w:val="00937B32"/>
    <w:rsid w:val="00941636"/>
    <w:rsid w:val="00943742"/>
    <w:rsid w:val="00943836"/>
    <w:rsid w:val="00945C05"/>
    <w:rsid w:val="00946945"/>
    <w:rsid w:val="00947713"/>
    <w:rsid w:val="00950DE7"/>
    <w:rsid w:val="00951BB3"/>
    <w:rsid w:val="00953920"/>
    <w:rsid w:val="00953D47"/>
    <w:rsid w:val="0095681E"/>
    <w:rsid w:val="009572D4"/>
    <w:rsid w:val="00961921"/>
    <w:rsid w:val="00962BDA"/>
    <w:rsid w:val="0096430A"/>
    <w:rsid w:val="0096554B"/>
    <w:rsid w:val="009656CA"/>
    <w:rsid w:val="0096584A"/>
    <w:rsid w:val="00967BBA"/>
    <w:rsid w:val="0097014A"/>
    <w:rsid w:val="00971F08"/>
    <w:rsid w:val="0097603D"/>
    <w:rsid w:val="00976949"/>
    <w:rsid w:val="00980477"/>
    <w:rsid w:val="00980E79"/>
    <w:rsid w:val="00985253"/>
    <w:rsid w:val="009853B3"/>
    <w:rsid w:val="00990630"/>
    <w:rsid w:val="00991761"/>
    <w:rsid w:val="00994DCA"/>
    <w:rsid w:val="009960EC"/>
    <w:rsid w:val="009970DD"/>
    <w:rsid w:val="009A0FBA"/>
    <w:rsid w:val="009A11B4"/>
    <w:rsid w:val="009A1601"/>
    <w:rsid w:val="009A3BB6"/>
    <w:rsid w:val="009A462D"/>
    <w:rsid w:val="009A5191"/>
    <w:rsid w:val="009A5CBA"/>
    <w:rsid w:val="009B1F30"/>
    <w:rsid w:val="009B3AC2"/>
    <w:rsid w:val="009B4DF4"/>
    <w:rsid w:val="009B564E"/>
    <w:rsid w:val="009B7E87"/>
    <w:rsid w:val="009C0169"/>
    <w:rsid w:val="009C403E"/>
    <w:rsid w:val="009C7640"/>
    <w:rsid w:val="009D4FF0"/>
    <w:rsid w:val="009D703C"/>
    <w:rsid w:val="009D718F"/>
    <w:rsid w:val="009E068F"/>
    <w:rsid w:val="009E0A3B"/>
    <w:rsid w:val="009E14E0"/>
    <w:rsid w:val="009E35DB"/>
    <w:rsid w:val="009E47A3"/>
    <w:rsid w:val="009E52C7"/>
    <w:rsid w:val="009E77C2"/>
    <w:rsid w:val="009F08F3"/>
    <w:rsid w:val="009F344F"/>
    <w:rsid w:val="00A031D8"/>
    <w:rsid w:val="00A048A8"/>
    <w:rsid w:val="00A04F49"/>
    <w:rsid w:val="00A114DF"/>
    <w:rsid w:val="00A13E54"/>
    <w:rsid w:val="00A17104"/>
    <w:rsid w:val="00A17F63"/>
    <w:rsid w:val="00A2193B"/>
    <w:rsid w:val="00A224D3"/>
    <w:rsid w:val="00A232B1"/>
    <w:rsid w:val="00A2351A"/>
    <w:rsid w:val="00A23E32"/>
    <w:rsid w:val="00A24709"/>
    <w:rsid w:val="00A264A9"/>
    <w:rsid w:val="00A26DCF"/>
    <w:rsid w:val="00A27785"/>
    <w:rsid w:val="00A27F70"/>
    <w:rsid w:val="00A30187"/>
    <w:rsid w:val="00A317F4"/>
    <w:rsid w:val="00A3448A"/>
    <w:rsid w:val="00A36297"/>
    <w:rsid w:val="00A41E2B"/>
    <w:rsid w:val="00A45B74"/>
    <w:rsid w:val="00A52E1D"/>
    <w:rsid w:val="00A54EC1"/>
    <w:rsid w:val="00A575B2"/>
    <w:rsid w:val="00A575CD"/>
    <w:rsid w:val="00A5768B"/>
    <w:rsid w:val="00A579D4"/>
    <w:rsid w:val="00A61499"/>
    <w:rsid w:val="00A61948"/>
    <w:rsid w:val="00A62A77"/>
    <w:rsid w:val="00A63483"/>
    <w:rsid w:val="00A65766"/>
    <w:rsid w:val="00A657D7"/>
    <w:rsid w:val="00A65D11"/>
    <w:rsid w:val="00A660AC"/>
    <w:rsid w:val="00A67E6C"/>
    <w:rsid w:val="00A71B99"/>
    <w:rsid w:val="00A739D0"/>
    <w:rsid w:val="00A761D4"/>
    <w:rsid w:val="00A77EC4"/>
    <w:rsid w:val="00A86451"/>
    <w:rsid w:val="00A92879"/>
    <w:rsid w:val="00A9442A"/>
    <w:rsid w:val="00A967E9"/>
    <w:rsid w:val="00AA016F"/>
    <w:rsid w:val="00AA1E01"/>
    <w:rsid w:val="00AA1ED6"/>
    <w:rsid w:val="00AA2CA5"/>
    <w:rsid w:val="00AA3C9B"/>
    <w:rsid w:val="00AA51D6"/>
    <w:rsid w:val="00AB0BC8"/>
    <w:rsid w:val="00AB11CA"/>
    <w:rsid w:val="00AB14D9"/>
    <w:rsid w:val="00AB4AB8"/>
    <w:rsid w:val="00AB5B7E"/>
    <w:rsid w:val="00AB655E"/>
    <w:rsid w:val="00AB7475"/>
    <w:rsid w:val="00AC007F"/>
    <w:rsid w:val="00AC2ECD"/>
    <w:rsid w:val="00AC3119"/>
    <w:rsid w:val="00AC49FB"/>
    <w:rsid w:val="00AC5A10"/>
    <w:rsid w:val="00AC7FD6"/>
    <w:rsid w:val="00AD0AA3"/>
    <w:rsid w:val="00AD3F94"/>
    <w:rsid w:val="00AD43B4"/>
    <w:rsid w:val="00AD4A5A"/>
    <w:rsid w:val="00AD4D16"/>
    <w:rsid w:val="00AD5CD1"/>
    <w:rsid w:val="00AE27AC"/>
    <w:rsid w:val="00AE40E0"/>
    <w:rsid w:val="00AE4DBA"/>
    <w:rsid w:val="00AE4F07"/>
    <w:rsid w:val="00AF1C5D"/>
    <w:rsid w:val="00AF42D7"/>
    <w:rsid w:val="00AF7309"/>
    <w:rsid w:val="00B006FE"/>
    <w:rsid w:val="00B007CB"/>
    <w:rsid w:val="00B02AA9"/>
    <w:rsid w:val="00B02FA3"/>
    <w:rsid w:val="00B05084"/>
    <w:rsid w:val="00B054F9"/>
    <w:rsid w:val="00B157F9"/>
    <w:rsid w:val="00B20256"/>
    <w:rsid w:val="00B20D09"/>
    <w:rsid w:val="00B2763F"/>
    <w:rsid w:val="00B27AAC"/>
    <w:rsid w:val="00B30929"/>
    <w:rsid w:val="00B33C68"/>
    <w:rsid w:val="00B372AA"/>
    <w:rsid w:val="00B40445"/>
    <w:rsid w:val="00B409E0"/>
    <w:rsid w:val="00B41888"/>
    <w:rsid w:val="00B43FF9"/>
    <w:rsid w:val="00B45A52"/>
    <w:rsid w:val="00B46175"/>
    <w:rsid w:val="00B5250C"/>
    <w:rsid w:val="00B548B7"/>
    <w:rsid w:val="00B5568A"/>
    <w:rsid w:val="00B57074"/>
    <w:rsid w:val="00B61CFF"/>
    <w:rsid w:val="00B627E9"/>
    <w:rsid w:val="00B664C7"/>
    <w:rsid w:val="00B739F6"/>
    <w:rsid w:val="00B77537"/>
    <w:rsid w:val="00B77856"/>
    <w:rsid w:val="00B81A6C"/>
    <w:rsid w:val="00B81BE5"/>
    <w:rsid w:val="00B85DE5"/>
    <w:rsid w:val="00B8630C"/>
    <w:rsid w:val="00B87E90"/>
    <w:rsid w:val="00B90A96"/>
    <w:rsid w:val="00B90F73"/>
    <w:rsid w:val="00B93B59"/>
    <w:rsid w:val="00B9406A"/>
    <w:rsid w:val="00B96A6F"/>
    <w:rsid w:val="00BA2280"/>
    <w:rsid w:val="00BA2A08"/>
    <w:rsid w:val="00BA463D"/>
    <w:rsid w:val="00BA56D2"/>
    <w:rsid w:val="00BA76E0"/>
    <w:rsid w:val="00BB2A25"/>
    <w:rsid w:val="00BB415B"/>
    <w:rsid w:val="00BB51E9"/>
    <w:rsid w:val="00BB6DE5"/>
    <w:rsid w:val="00BC0FDC"/>
    <w:rsid w:val="00BC3053"/>
    <w:rsid w:val="00BC4D2E"/>
    <w:rsid w:val="00BC5546"/>
    <w:rsid w:val="00BC5DD6"/>
    <w:rsid w:val="00BD3AE0"/>
    <w:rsid w:val="00BD48AC"/>
    <w:rsid w:val="00BD5573"/>
    <w:rsid w:val="00BD5F1A"/>
    <w:rsid w:val="00BE1234"/>
    <w:rsid w:val="00BE174B"/>
    <w:rsid w:val="00BE2FA6"/>
    <w:rsid w:val="00BE333F"/>
    <w:rsid w:val="00BE3502"/>
    <w:rsid w:val="00BE624D"/>
    <w:rsid w:val="00BE6AE0"/>
    <w:rsid w:val="00BE7406"/>
    <w:rsid w:val="00BE7603"/>
    <w:rsid w:val="00BF2C82"/>
    <w:rsid w:val="00BF3279"/>
    <w:rsid w:val="00BF3AD7"/>
    <w:rsid w:val="00BF74C7"/>
    <w:rsid w:val="00C015F1"/>
    <w:rsid w:val="00C01F33"/>
    <w:rsid w:val="00C02250"/>
    <w:rsid w:val="00C02CC6"/>
    <w:rsid w:val="00C040F7"/>
    <w:rsid w:val="00C044AB"/>
    <w:rsid w:val="00C05706"/>
    <w:rsid w:val="00C07377"/>
    <w:rsid w:val="00C10478"/>
    <w:rsid w:val="00C12107"/>
    <w:rsid w:val="00C14D4B"/>
    <w:rsid w:val="00C154BB"/>
    <w:rsid w:val="00C268E6"/>
    <w:rsid w:val="00C279B5"/>
    <w:rsid w:val="00C27C45"/>
    <w:rsid w:val="00C3294B"/>
    <w:rsid w:val="00C3719D"/>
    <w:rsid w:val="00C37CB2"/>
    <w:rsid w:val="00C42804"/>
    <w:rsid w:val="00C46B86"/>
    <w:rsid w:val="00C473A5"/>
    <w:rsid w:val="00C5061C"/>
    <w:rsid w:val="00C51EE3"/>
    <w:rsid w:val="00C54995"/>
    <w:rsid w:val="00C54D41"/>
    <w:rsid w:val="00C60783"/>
    <w:rsid w:val="00C60DFF"/>
    <w:rsid w:val="00C64672"/>
    <w:rsid w:val="00C65417"/>
    <w:rsid w:val="00C6776A"/>
    <w:rsid w:val="00C70697"/>
    <w:rsid w:val="00C72093"/>
    <w:rsid w:val="00C72EF4"/>
    <w:rsid w:val="00C744FE"/>
    <w:rsid w:val="00C75D2F"/>
    <w:rsid w:val="00C767BE"/>
    <w:rsid w:val="00C76E3C"/>
    <w:rsid w:val="00C81568"/>
    <w:rsid w:val="00C871D1"/>
    <w:rsid w:val="00C9027A"/>
    <w:rsid w:val="00C9068E"/>
    <w:rsid w:val="00C91246"/>
    <w:rsid w:val="00C93814"/>
    <w:rsid w:val="00C93C4B"/>
    <w:rsid w:val="00C944AB"/>
    <w:rsid w:val="00C95B40"/>
    <w:rsid w:val="00CA1ED8"/>
    <w:rsid w:val="00CA5524"/>
    <w:rsid w:val="00CA5DF5"/>
    <w:rsid w:val="00CA6BD2"/>
    <w:rsid w:val="00CB13D9"/>
    <w:rsid w:val="00CB1F63"/>
    <w:rsid w:val="00CB379A"/>
    <w:rsid w:val="00CB5B71"/>
    <w:rsid w:val="00CB7170"/>
    <w:rsid w:val="00CC040E"/>
    <w:rsid w:val="00CC111F"/>
    <w:rsid w:val="00CC2011"/>
    <w:rsid w:val="00CC3E0F"/>
    <w:rsid w:val="00CC3EA0"/>
    <w:rsid w:val="00CC7B45"/>
    <w:rsid w:val="00CD1188"/>
    <w:rsid w:val="00CD2ED1"/>
    <w:rsid w:val="00CD337B"/>
    <w:rsid w:val="00CD3948"/>
    <w:rsid w:val="00CD6C51"/>
    <w:rsid w:val="00CE0424"/>
    <w:rsid w:val="00CE51EF"/>
    <w:rsid w:val="00CE7561"/>
    <w:rsid w:val="00CF1354"/>
    <w:rsid w:val="00CF142A"/>
    <w:rsid w:val="00CF1905"/>
    <w:rsid w:val="00CF2276"/>
    <w:rsid w:val="00CF3B1F"/>
    <w:rsid w:val="00CF3BF6"/>
    <w:rsid w:val="00CF48F2"/>
    <w:rsid w:val="00CF55E9"/>
    <w:rsid w:val="00CF6035"/>
    <w:rsid w:val="00CF623D"/>
    <w:rsid w:val="00CF625B"/>
    <w:rsid w:val="00CF687E"/>
    <w:rsid w:val="00D0349B"/>
    <w:rsid w:val="00D0675B"/>
    <w:rsid w:val="00D10249"/>
    <w:rsid w:val="00D115C3"/>
    <w:rsid w:val="00D11897"/>
    <w:rsid w:val="00D12C9F"/>
    <w:rsid w:val="00D13135"/>
    <w:rsid w:val="00D13E4E"/>
    <w:rsid w:val="00D2398C"/>
    <w:rsid w:val="00D239A7"/>
    <w:rsid w:val="00D23F47"/>
    <w:rsid w:val="00D2663E"/>
    <w:rsid w:val="00D36E71"/>
    <w:rsid w:val="00D37D87"/>
    <w:rsid w:val="00D40B33"/>
    <w:rsid w:val="00D427CC"/>
    <w:rsid w:val="00D4318F"/>
    <w:rsid w:val="00D438BF"/>
    <w:rsid w:val="00D440F8"/>
    <w:rsid w:val="00D50115"/>
    <w:rsid w:val="00D52519"/>
    <w:rsid w:val="00D54266"/>
    <w:rsid w:val="00D546FF"/>
    <w:rsid w:val="00D55AD5"/>
    <w:rsid w:val="00D576CA"/>
    <w:rsid w:val="00D61AF5"/>
    <w:rsid w:val="00D652B5"/>
    <w:rsid w:val="00D66155"/>
    <w:rsid w:val="00D708B0"/>
    <w:rsid w:val="00D7263D"/>
    <w:rsid w:val="00D77777"/>
    <w:rsid w:val="00D77B1D"/>
    <w:rsid w:val="00D8021F"/>
    <w:rsid w:val="00D80383"/>
    <w:rsid w:val="00D823C6"/>
    <w:rsid w:val="00D8327F"/>
    <w:rsid w:val="00D86024"/>
    <w:rsid w:val="00D86CA3"/>
    <w:rsid w:val="00D871CE"/>
    <w:rsid w:val="00D9101A"/>
    <w:rsid w:val="00D9196D"/>
    <w:rsid w:val="00D92982"/>
    <w:rsid w:val="00DA0D70"/>
    <w:rsid w:val="00DA22BD"/>
    <w:rsid w:val="00DA305E"/>
    <w:rsid w:val="00DA5124"/>
    <w:rsid w:val="00DA5417"/>
    <w:rsid w:val="00DA56E8"/>
    <w:rsid w:val="00DB0A9F"/>
    <w:rsid w:val="00DB377D"/>
    <w:rsid w:val="00DB5786"/>
    <w:rsid w:val="00DC2D36"/>
    <w:rsid w:val="00DC3282"/>
    <w:rsid w:val="00DC53EF"/>
    <w:rsid w:val="00DD1AE9"/>
    <w:rsid w:val="00DD1D0C"/>
    <w:rsid w:val="00DD3EA6"/>
    <w:rsid w:val="00DE5608"/>
    <w:rsid w:val="00DE58D0"/>
    <w:rsid w:val="00DE654F"/>
    <w:rsid w:val="00DF0B6E"/>
    <w:rsid w:val="00DF0CE9"/>
    <w:rsid w:val="00DF139D"/>
    <w:rsid w:val="00DF15E0"/>
    <w:rsid w:val="00DF37A0"/>
    <w:rsid w:val="00DF66E1"/>
    <w:rsid w:val="00E110E7"/>
    <w:rsid w:val="00E1152B"/>
    <w:rsid w:val="00E11B20"/>
    <w:rsid w:val="00E156EB"/>
    <w:rsid w:val="00E17FA2"/>
    <w:rsid w:val="00E22330"/>
    <w:rsid w:val="00E26AA4"/>
    <w:rsid w:val="00E30B5A"/>
    <w:rsid w:val="00E3123D"/>
    <w:rsid w:val="00E31461"/>
    <w:rsid w:val="00E31D43"/>
    <w:rsid w:val="00E32608"/>
    <w:rsid w:val="00E32DE9"/>
    <w:rsid w:val="00E330B3"/>
    <w:rsid w:val="00E34188"/>
    <w:rsid w:val="00E34B6E"/>
    <w:rsid w:val="00E35559"/>
    <w:rsid w:val="00E35B10"/>
    <w:rsid w:val="00E3723A"/>
    <w:rsid w:val="00E37860"/>
    <w:rsid w:val="00E446F1"/>
    <w:rsid w:val="00E46886"/>
    <w:rsid w:val="00E47AEF"/>
    <w:rsid w:val="00E53B75"/>
    <w:rsid w:val="00E54E3B"/>
    <w:rsid w:val="00E5688D"/>
    <w:rsid w:val="00E57565"/>
    <w:rsid w:val="00E63838"/>
    <w:rsid w:val="00E64434"/>
    <w:rsid w:val="00E672F2"/>
    <w:rsid w:val="00E673D0"/>
    <w:rsid w:val="00E67C51"/>
    <w:rsid w:val="00E72EFC"/>
    <w:rsid w:val="00E73C71"/>
    <w:rsid w:val="00E74219"/>
    <w:rsid w:val="00E75120"/>
    <w:rsid w:val="00E758EC"/>
    <w:rsid w:val="00E76ABC"/>
    <w:rsid w:val="00E8234C"/>
    <w:rsid w:val="00E83AA9"/>
    <w:rsid w:val="00E85928"/>
    <w:rsid w:val="00E8665C"/>
    <w:rsid w:val="00E87822"/>
    <w:rsid w:val="00E90395"/>
    <w:rsid w:val="00E90E49"/>
    <w:rsid w:val="00E917F9"/>
    <w:rsid w:val="00E9291C"/>
    <w:rsid w:val="00E93FFE"/>
    <w:rsid w:val="00E94F8A"/>
    <w:rsid w:val="00EA7A41"/>
    <w:rsid w:val="00EB077B"/>
    <w:rsid w:val="00EB4EA2"/>
    <w:rsid w:val="00EB76AC"/>
    <w:rsid w:val="00EC24D5"/>
    <w:rsid w:val="00EC27C6"/>
    <w:rsid w:val="00EC386F"/>
    <w:rsid w:val="00EC4207"/>
    <w:rsid w:val="00EC5653"/>
    <w:rsid w:val="00EC57E1"/>
    <w:rsid w:val="00EC71CE"/>
    <w:rsid w:val="00ED1006"/>
    <w:rsid w:val="00ED1EFB"/>
    <w:rsid w:val="00ED2349"/>
    <w:rsid w:val="00ED4C6A"/>
    <w:rsid w:val="00ED507F"/>
    <w:rsid w:val="00EE424A"/>
    <w:rsid w:val="00EF1618"/>
    <w:rsid w:val="00EF18FE"/>
    <w:rsid w:val="00EF5787"/>
    <w:rsid w:val="00EF60D0"/>
    <w:rsid w:val="00F0091E"/>
    <w:rsid w:val="00F028B3"/>
    <w:rsid w:val="00F02E11"/>
    <w:rsid w:val="00F03C1C"/>
    <w:rsid w:val="00F04A06"/>
    <w:rsid w:val="00F0528D"/>
    <w:rsid w:val="00F06C67"/>
    <w:rsid w:val="00F06DFD"/>
    <w:rsid w:val="00F071D1"/>
    <w:rsid w:val="00F07533"/>
    <w:rsid w:val="00F10629"/>
    <w:rsid w:val="00F13EB5"/>
    <w:rsid w:val="00F14DA2"/>
    <w:rsid w:val="00F15FA5"/>
    <w:rsid w:val="00F209B7"/>
    <w:rsid w:val="00F20F5C"/>
    <w:rsid w:val="00F2376F"/>
    <w:rsid w:val="00F243D8"/>
    <w:rsid w:val="00F30828"/>
    <w:rsid w:val="00F31153"/>
    <w:rsid w:val="00F313D6"/>
    <w:rsid w:val="00F40F0C"/>
    <w:rsid w:val="00F47005"/>
    <w:rsid w:val="00F4766C"/>
    <w:rsid w:val="00F47D13"/>
    <w:rsid w:val="00F5060E"/>
    <w:rsid w:val="00F507D1"/>
    <w:rsid w:val="00F50E5E"/>
    <w:rsid w:val="00F519CE"/>
    <w:rsid w:val="00F51ADA"/>
    <w:rsid w:val="00F60203"/>
    <w:rsid w:val="00F607C5"/>
    <w:rsid w:val="00F60DEA"/>
    <w:rsid w:val="00F6302A"/>
    <w:rsid w:val="00F637C9"/>
    <w:rsid w:val="00F63950"/>
    <w:rsid w:val="00F64C2B"/>
    <w:rsid w:val="00F651BE"/>
    <w:rsid w:val="00F67F53"/>
    <w:rsid w:val="00F703BE"/>
    <w:rsid w:val="00F71F69"/>
    <w:rsid w:val="00F72B72"/>
    <w:rsid w:val="00F72BB5"/>
    <w:rsid w:val="00F74BB9"/>
    <w:rsid w:val="00F75582"/>
    <w:rsid w:val="00F76EFA"/>
    <w:rsid w:val="00F804BE"/>
    <w:rsid w:val="00F817CE"/>
    <w:rsid w:val="00F8456C"/>
    <w:rsid w:val="00F859D8"/>
    <w:rsid w:val="00F868F5"/>
    <w:rsid w:val="00F9056A"/>
    <w:rsid w:val="00F90F8D"/>
    <w:rsid w:val="00F91096"/>
    <w:rsid w:val="00F92782"/>
    <w:rsid w:val="00F93AA9"/>
    <w:rsid w:val="00F940AC"/>
    <w:rsid w:val="00F96985"/>
    <w:rsid w:val="00F97838"/>
    <w:rsid w:val="00FA2BB3"/>
    <w:rsid w:val="00FA435C"/>
    <w:rsid w:val="00FB0E7C"/>
    <w:rsid w:val="00FB4C80"/>
    <w:rsid w:val="00FB55E9"/>
    <w:rsid w:val="00FB5BB2"/>
    <w:rsid w:val="00FB6A6A"/>
    <w:rsid w:val="00FC7429"/>
    <w:rsid w:val="00FD07F6"/>
    <w:rsid w:val="00FD1EC8"/>
    <w:rsid w:val="00FD47ED"/>
    <w:rsid w:val="00FD5A51"/>
    <w:rsid w:val="00FD74DB"/>
    <w:rsid w:val="00FD7660"/>
    <w:rsid w:val="00FE0655"/>
    <w:rsid w:val="00FE2365"/>
    <w:rsid w:val="00FE37D7"/>
    <w:rsid w:val="00FE4C7B"/>
    <w:rsid w:val="00FE517F"/>
    <w:rsid w:val="00FE7336"/>
    <w:rsid w:val="00FE787C"/>
    <w:rsid w:val="00FF0141"/>
    <w:rsid w:val="00FF45A5"/>
    <w:rsid w:val="00FF4948"/>
    <w:rsid w:val="00FF5247"/>
    <w:rsid w:val="00FF5BF2"/>
    <w:rsid w:val="00FF5C91"/>
    <w:rsid w:val="01D2464F"/>
    <w:rsid w:val="1374FB5D"/>
    <w:rsid w:val="1A1D8428"/>
    <w:rsid w:val="1A59B54B"/>
    <w:rsid w:val="3458EFC3"/>
    <w:rsid w:val="34F32B51"/>
    <w:rsid w:val="3F26EB72"/>
    <w:rsid w:val="443E63D1"/>
    <w:rsid w:val="5217EF03"/>
    <w:rsid w:val="52611CA2"/>
    <w:rsid w:val="577A3188"/>
    <w:rsid w:val="5BF5C6F7"/>
    <w:rsid w:val="5F644AFF"/>
    <w:rsid w:val="669103A8"/>
    <w:rsid w:val="69C170F0"/>
    <w:rsid w:val="6C1B2D5A"/>
    <w:rsid w:val="7061DF20"/>
    <w:rsid w:val="70A6D60F"/>
    <w:rsid w:val="7F524D1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C668B3FE-0C52-47D1-9DEC-FEFA80374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Mention">
    <w:name w:val="Mention"/>
    <w:basedOn w:val="DefaultParagraphFont"/>
    <w:uiPriority w:val="99"/>
    <w:unhideWhenUsed/>
    <w:rsid w:val="007F3814"/>
    <w:rPr>
      <w:color w:val="2B579A"/>
      <w:shd w:val="clear" w:color="auto" w:fill="E1DFDD"/>
    </w:rPr>
  </w:style>
  <w:style w:type="paragraph" w:styleId="Revision">
    <w:name w:val="Revision"/>
    <w:hidden/>
    <w:uiPriority w:val="99"/>
    <w:semiHidden/>
    <w:rsid w:val="009E77C2"/>
    <w:rPr>
      <w:rFonts w:ascii="Times New Roman" w:hAnsi="Times New Roman"/>
      <w:lang w:eastAsia="ja-JP"/>
    </w:rPr>
  </w:style>
  <w:style w:type="paragraph" w:customStyle="1" w:styleId="Agreement">
    <w:name w:val="Agreement"/>
    <w:basedOn w:val="Normal"/>
    <w:next w:val="Doc-text2"/>
    <w:qFormat/>
    <w:rsid w:val="008B20D4"/>
    <w:pPr>
      <w:numPr>
        <w:numId w:val="36"/>
      </w:numPr>
      <w:overflowPunct/>
      <w:autoSpaceDE/>
      <w:autoSpaceDN/>
      <w:adjustRightInd/>
      <w:spacing w:before="60" w:after="0"/>
      <w:textAlignment w:val="auto"/>
    </w:pPr>
    <w:rPr>
      <w:rFonts w:ascii="Arial" w:eastAsia="MS Mincho" w:hAnsi="Arial"/>
      <w:b/>
      <w:szCs w:val="24"/>
      <w:lang w:eastAsia="en-GB"/>
    </w:rPr>
  </w:style>
  <w:style w:type="paragraph" w:customStyle="1" w:styleId="Instructiontext">
    <w:name w:val="Instruction text"/>
    <w:basedOn w:val="BodyText"/>
    <w:link w:val="InstructiontextChar"/>
    <w:uiPriority w:val="99"/>
    <w:qFormat/>
    <w:rsid w:val="008062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80626A"/>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6/Docs/%0dRP-22181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documenttasks/documenttasks1.xml><?xml version="1.0" encoding="utf-8"?>
<t:Tasks xmlns:t="http://schemas.microsoft.com/office/tasks/2019/documenttasks" xmlns:oel="http://schemas.microsoft.com/office/2019/extlst">
  <t:Task id="{4E3065A7-78C5-440C-B794-9430EA00A75C}">
    <t:Anchor>
      <t:Comment id="647586726"/>
    </t:Anchor>
    <t:History>
      <t:Event id="{412D9E4F-4A74-4D76-8B4B-8941B60AE3A0}" time="2022-08-07T13:27:13.941Z">
        <t:Attribution userId="S::filip.barac@ericsson.com::d01b6925-bf8b-447c-8a69-6fea306b4349" userProvider="AD" userName="Filip Barac"/>
        <t:Anchor>
          <t:Comment id="1342754282"/>
        </t:Anchor>
        <t:Create/>
      </t:Event>
      <t:Event id="{8A3C2F29-D7A9-4EF0-9E0A-29F3A518301D}" time="2022-08-07T13:27:13.941Z">
        <t:Attribution userId="S::filip.barac@ericsson.com::d01b6925-bf8b-447c-8a69-6fea306b4349" userProvider="AD" userName="Filip Barac"/>
        <t:Anchor>
          <t:Comment id="1342754282"/>
        </t:Anchor>
        <t:Assign userId="S::ritesh.shreevastav@ericsson.com::f93dee3d-be4f-412a-8c5f-30ec04b37dfb" userProvider="AD" userName="Ritesh Shreevastav"/>
      </t:Event>
      <t:Event id="{89EC20E2-565C-4648-9528-6901B66E0523}" time="2022-08-07T13:27:13.941Z">
        <t:Attribution userId="S::filip.barac@ericsson.com::d01b6925-bf8b-447c-8a69-6fea306b4349" userProvider="AD" userName="Filip Barac"/>
        <t:Anchor>
          <t:Comment id="1342754282"/>
        </t:Anchor>
        <t:SetTitle title="@Ritesh Shreevastav could youy please describe our solution? I had that family emergency in June so I did not have the chance to review and contribute to that iv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3727F93-7C5F-4D2C-B82F-05AB3E2C1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5</TotalTime>
  <Pages>5</Pages>
  <Words>2338</Words>
  <Characters>11507</Characters>
  <Application>Microsoft Office Word</Application>
  <DocSecurity>0</DocSecurity>
  <Lines>191</Lines>
  <Paragraphs>104</Paragraphs>
  <ScaleCrop>false</ScaleCrop>
  <Company>Ericsson</Company>
  <LinksUpToDate>false</LinksUpToDate>
  <CharactersWithSpaces>13741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57</cp:revision>
  <cp:lastPrinted>2008-02-01T10:09:00Z</cp:lastPrinted>
  <dcterms:created xsi:type="dcterms:W3CDTF">2022-09-29T00:31:00Z</dcterms:created>
  <dcterms:modified xsi:type="dcterms:W3CDTF">2022-09-29T21:48:00Z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